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لائحة الموارد البشرية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اللوائح والنموذج الشامل.</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العلاقة الوظيفية واستقطاب الكفاءات وتقييمها وتطويرها وحفظ حقوق الجمعية والعاملين.</w:t>
      </w:r>
    </w:p>
    <w:p>
      <w:pPr>
        <w:spacing w:before="160" w:after="100" w:line="276" w:lineRule="auto"/>
        <w:jc w:val="right"/>
        <w:bidi w:val="1"/>
      </w:pPr>
      <w:r>
        <w:rPr>
          <w:rFonts w:ascii="Noto Naskh Arabic" w:hAnsi="Noto Naskh Arabic" w:cs="Noto Naskh Arabic"/>
          <w:b/>
          <w:color w:val="155B4C"/>
          <w:sz w:val="26"/>
        </w:rPr>
        <w:t>التخطيط والاستقطاب</w:t>
      </w:r>
    </w:p>
    <w:p>
      <w:pPr>
        <w:pStyle w:val="ListBullet"/>
        <w:spacing w:after="60" w:line="269" w:lineRule="auto"/>
        <w:ind w:left="283" w:right="340"/>
        <w:jc w:val="right"/>
        <w:bidi w:val="1"/>
      </w:pPr>
      <w:r>
        <w:rPr>
          <w:rFonts w:ascii="Noto Naskh Arabic" w:hAnsi="Noto Naskh Arabic" w:cs="Noto Naskh Arabic"/>
          <w:b w:val="0"/>
          <w:sz w:val="21"/>
        </w:rPr>
        <w:t>يعتمد الهيكل والوصف الوظيفي والملاك قبل الاستقطاب.</w:t>
      </w:r>
    </w:p>
    <w:p>
      <w:pPr>
        <w:pStyle w:val="ListBullet"/>
        <w:spacing w:after="60" w:line="269" w:lineRule="auto"/>
        <w:ind w:left="283" w:right="340"/>
        <w:jc w:val="right"/>
        <w:bidi w:val="1"/>
      </w:pPr>
      <w:r>
        <w:rPr>
          <w:rFonts w:ascii="Noto Naskh Arabic" w:hAnsi="Noto Naskh Arabic" w:cs="Noto Naskh Arabic"/>
          <w:b w:val="0"/>
          <w:sz w:val="21"/>
        </w:rPr>
        <w:t>تعلن الوظائف وتوثق معايير الفرز والمقابلات وقرار الاختيار.</w:t>
      </w:r>
    </w:p>
    <w:p>
      <w:pPr>
        <w:pStyle w:val="ListBullet"/>
        <w:spacing w:after="60" w:line="269" w:lineRule="auto"/>
        <w:ind w:left="283" w:right="340"/>
        <w:jc w:val="right"/>
        <w:bidi w:val="1"/>
      </w:pPr>
      <w:r>
        <w:rPr>
          <w:rFonts w:ascii="Noto Naskh Arabic" w:hAnsi="Noto Naskh Arabic" w:cs="Noto Naskh Arabic"/>
          <w:b w:val="0"/>
          <w:sz w:val="21"/>
        </w:rPr>
        <w:t>يمنع التوظيف أو التعاقد في حال وجود تعارض مصالح غير مفصح عنه.</w:t>
      </w:r>
    </w:p>
    <w:p>
      <w:pPr>
        <w:spacing w:before="160" w:after="100" w:line="276" w:lineRule="auto"/>
        <w:jc w:val="right"/>
        <w:bidi w:val="1"/>
      </w:pPr>
      <w:r>
        <w:rPr>
          <w:rFonts w:ascii="Noto Naskh Arabic" w:hAnsi="Noto Naskh Arabic" w:cs="Noto Naskh Arabic"/>
          <w:b/>
          <w:color w:val="155B4C"/>
          <w:sz w:val="26"/>
        </w:rPr>
        <w:t>العقود والملفات</w:t>
      </w:r>
    </w:p>
    <w:p>
      <w:pPr>
        <w:pStyle w:val="ListBullet"/>
        <w:spacing w:after="60" w:line="269" w:lineRule="auto"/>
        <w:ind w:left="283" w:right="340"/>
        <w:jc w:val="right"/>
        <w:bidi w:val="1"/>
      </w:pPr>
      <w:r>
        <w:rPr>
          <w:rFonts w:ascii="Noto Naskh Arabic" w:hAnsi="Noto Naskh Arabic" w:cs="Noto Naskh Arabic"/>
          <w:b w:val="0"/>
          <w:sz w:val="21"/>
        </w:rPr>
        <w:t>يبرم عقد مكتوب يوضح المسمى والأجر والواجبات وفترة التجربة وساعات العمل.</w:t>
      </w:r>
    </w:p>
    <w:p>
      <w:pPr>
        <w:pStyle w:val="ListBullet"/>
        <w:spacing w:after="60" w:line="269" w:lineRule="auto"/>
        <w:ind w:left="283" w:right="340"/>
        <w:jc w:val="right"/>
        <w:bidi w:val="1"/>
      </w:pPr>
      <w:r>
        <w:rPr>
          <w:rFonts w:ascii="Noto Naskh Arabic" w:hAnsi="Noto Naskh Arabic" w:cs="Noto Naskh Arabic"/>
          <w:b w:val="0"/>
          <w:sz w:val="21"/>
        </w:rPr>
        <w:t>ينشأ ملف وظيفي ورقي أو إلكتروني ويحفظ بسرية وصلاحيات وصول محددة.</w:t>
      </w:r>
    </w:p>
    <w:p>
      <w:pPr>
        <w:spacing w:before="160" w:after="100" w:line="276" w:lineRule="auto"/>
        <w:jc w:val="right"/>
        <w:bidi w:val="1"/>
      </w:pPr>
      <w:r>
        <w:rPr>
          <w:rFonts w:ascii="Noto Naskh Arabic" w:hAnsi="Noto Naskh Arabic" w:cs="Noto Naskh Arabic"/>
          <w:b/>
          <w:color w:val="155B4C"/>
          <w:sz w:val="26"/>
        </w:rPr>
        <w:t>الدوام والإجازات</w:t>
      </w:r>
    </w:p>
    <w:p>
      <w:pPr>
        <w:pStyle w:val="ListBullet"/>
        <w:spacing w:after="60" w:line="269" w:lineRule="auto"/>
        <w:ind w:left="283" w:right="340"/>
        <w:jc w:val="right"/>
        <w:bidi w:val="1"/>
      </w:pPr>
      <w:r>
        <w:rPr>
          <w:rFonts w:ascii="Noto Naskh Arabic" w:hAnsi="Noto Naskh Arabic" w:cs="Noto Naskh Arabic"/>
          <w:b w:val="0"/>
          <w:sz w:val="21"/>
        </w:rPr>
        <w:t>تحدد ساعات العمل وآلية الحضور والانصراف والعمل المرن أو عن بعد.</w:t>
      </w:r>
    </w:p>
    <w:p>
      <w:pPr>
        <w:pStyle w:val="ListBullet"/>
        <w:spacing w:after="60" w:line="269" w:lineRule="auto"/>
        <w:ind w:left="283" w:right="340"/>
        <w:jc w:val="right"/>
        <w:bidi w:val="1"/>
      </w:pPr>
      <w:r>
        <w:rPr>
          <w:rFonts w:ascii="Noto Naskh Arabic" w:hAnsi="Noto Naskh Arabic" w:cs="Noto Naskh Arabic"/>
          <w:b w:val="0"/>
          <w:sz w:val="21"/>
        </w:rPr>
        <w:t>تدار الإجازات وفق النظام والعقد والسياسات الداخلية مع توثيق الرصيد والموافقات.</w:t>
      </w:r>
    </w:p>
    <w:p>
      <w:pPr>
        <w:spacing w:before="160" w:after="100" w:line="276" w:lineRule="auto"/>
        <w:jc w:val="right"/>
        <w:bidi w:val="1"/>
      </w:pPr>
      <w:r>
        <w:rPr>
          <w:rFonts w:ascii="Noto Naskh Arabic" w:hAnsi="Noto Naskh Arabic" w:cs="Noto Naskh Arabic"/>
          <w:b/>
          <w:color w:val="155B4C"/>
          <w:sz w:val="26"/>
        </w:rPr>
        <w:t>الأداء والتطوير</w:t>
      </w:r>
    </w:p>
    <w:p>
      <w:pPr>
        <w:pStyle w:val="ListBullet"/>
        <w:spacing w:after="60" w:line="269" w:lineRule="auto"/>
        <w:ind w:left="283" w:right="340"/>
        <w:jc w:val="right"/>
        <w:bidi w:val="1"/>
      </w:pPr>
      <w:r>
        <w:rPr>
          <w:rFonts w:ascii="Noto Naskh Arabic" w:hAnsi="Noto Naskh Arabic" w:cs="Noto Naskh Arabic"/>
          <w:b w:val="0"/>
          <w:sz w:val="21"/>
        </w:rPr>
        <w:t>توضع أهداف ومؤشرات أداء سنوية مرتبطة بالخطة التشغيلية.</w:t>
      </w:r>
    </w:p>
    <w:p>
      <w:pPr>
        <w:pStyle w:val="ListBullet"/>
        <w:spacing w:after="60" w:line="269" w:lineRule="auto"/>
        <w:ind w:left="283" w:right="340"/>
        <w:jc w:val="right"/>
        <w:bidi w:val="1"/>
      </w:pPr>
      <w:r>
        <w:rPr>
          <w:rFonts w:ascii="Noto Naskh Arabic" w:hAnsi="Noto Naskh Arabic" w:cs="Noto Naskh Arabic"/>
          <w:b w:val="0"/>
          <w:sz w:val="21"/>
        </w:rPr>
        <w:t>ينفذ تقييم دوري وتناقش النتائج وخطط التحسين والتدريب.</w:t>
      </w:r>
    </w:p>
    <w:p>
      <w:pPr>
        <w:spacing w:before="160" w:after="100" w:line="276" w:lineRule="auto"/>
        <w:jc w:val="right"/>
        <w:bidi w:val="1"/>
      </w:pPr>
      <w:r>
        <w:rPr>
          <w:rFonts w:ascii="Noto Naskh Arabic" w:hAnsi="Noto Naskh Arabic" w:cs="Noto Naskh Arabic"/>
          <w:b/>
          <w:color w:val="155B4C"/>
          <w:sz w:val="26"/>
        </w:rPr>
        <w:t>السلوك والمخالفات</w:t>
      </w:r>
    </w:p>
    <w:p>
      <w:pPr>
        <w:pStyle w:val="ListBullet"/>
        <w:spacing w:after="60" w:line="269" w:lineRule="auto"/>
        <w:ind w:left="283" w:right="340"/>
        <w:jc w:val="right"/>
        <w:bidi w:val="1"/>
      </w:pPr>
      <w:r>
        <w:rPr>
          <w:rFonts w:ascii="Noto Naskh Arabic" w:hAnsi="Noto Naskh Arabic" w:cs="Noto Naskh Arabic"/>
          <w:b w:val="0"/>
          <w:sz w:val="21"/>
        </w:rPr>
        <w:t>يلتزم العاملون بالميثاق الأخلاقي والسرية وعدم استغلال الصلاحيات.</w:t>
      </w:r>
    </w:p>
    <w:p>
      <w:pPr>
        <w:pStyle w:val="ListBullet"/>
        <w:spacing w:after="60" w:line="269" w:lineRule="auto"/>
        <w:ind w:left="283" w:right="340"/>
        <w:jc w:val="right"/>
        <w:bidi w:val="1"/>
      </w:pPr>
      <w:r>
        <w:rPr>
          <w:rFonts w:ascii="Noto Naskh Arabic" w:hAnsi="Noto Naskh Arabic" w:cs="Noto Naskh Arabic"/>
          <w:b w:val="0"/>
          <w:sz w:val="21"/>
        </w:rPr>
        <w:t>تطبق إجراءات عادلة للتحقيق والتدرج في الجزاءات وتمكين الموظف من الرد.</w:t>
      </w:r>
    </w:p>
    <w:p>
      <w:pPr>
        <w:spacing w:before="160" w:after="100" w:line="276" w:lineRule="auto"/>
        <w:jc w:val="right"/>
        <w:bidi w:val="1"/>
      </w:pPr>
      <w:r>
        <w:rPr>
          <w:rFonts w:ascii="Noto Naskh Arabic" w:hAnsi="Noto Naskh Arabic" w:cs="Noto Naskh Arabic"/>
          <w:b/>
          <w:color w:val="155B4C"/>
          <w:sz w:val="26"/>
        </w:rPr>
        <w:t>إنهاء العلاقة</w:t>
      </w:r>
    </w:p>
    <w:p>
      <w:pPr>
        <w:pStyle w:val="ListBullet"/>
        <w:spacing w:after="60" w:line="269" w:lineRule="auto"/>
        <w:ind w:left="283" w:right="340"/>
        <w:jc w:val="right"/>
        <w:bidi w:val="1"/>
      </w:pPr>
      <w:r>
        <w:rPr>
          <w:rFonts w:ascii="Noto Naskh Arabic" w:hAnsi="Noto Naskh Arabic" w:cs="Noto Naskh Arabic"/>
          <w:b w:val="0"/>
          <w:sz w:val="21"/>
        </w:rPr>
        <w:t>توثق الاستقالة أو انتهاء العقد أو الفصل وتسوى الحقوق وتستعاد العهد والصلاحيات.</w:t>
      </w:r>
    </w:p>
    <w:p>
      <w:pPr>
        <w:pStyle w:val="ListBullet"/>
        <w:spacing w:after="60" w:line="269" w:lineRule="auto"/>
        <w:ind w:left="283" w:right="340"/>
        <w:jc w:val="right"/>
        <w:bidi w:val="1"/>
      </w:pPr>
      <w:r>
        <w:rPr>
          <w:rFonts w:ascii="Noto Naskh Arabic" w:hAnsi="Noto Naskh Arabic" w:cs="Noto Naskh Arabic"/>
          <w:b w:val="0"/>
          <w:sz w:val="21"/>
        </w:rPr>
        <w:t>تنفذ مقابلة خروج ويغلق الوصول للأنظمة والبيانات في الوقت المناسب.</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