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لائحة الصلاحيات المالية والإدارية</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اللوائح والنموذج الشامل.</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تحديد من يوصي ويراجع ويعتمد وينفذ ويراقب القرارات المالية والإدارية.</w:t>
      </w:r>
    </w:p>
    <w:p>
      <w:pPr>
        <w:spacing w:before="160" w:after="100" w:line="276" w:lineRule="auto"/>
        <w:jc w:val="right"/>
        <w:bidi w:val="1"/>
      </w:pPr>
      <w:r>
        <w:rPr>
          <w:rFonts w:ascii="Noto Naskh Arabic" w:hAnsi="Noto Naskh Arabic" w:cs="Noto Naskh Arabic"/>
          <w:b/>
          <w:color w:val="155B4C"/>
          <w:sz w:val="26"/>
        </w:rPr>
        <w:t>مبادئ التفويض</w:t>
      </w:r>
    </w:p>
    <w:p>
      <w:pPr>
        <w:pStyle w:val="ListBullet"/>
        <w:spacing w:after="60" w:line="269" w:lineRule="auto"/>
        <w:ind w:left="283" w:right="340"/>
        <w:jc w:val="right"/>
        <w:bidi w:val="1"/>
      </w:pPr>
      <w:r>
        <w:rPr>
          <w:rFonts w:ascii="Noto Naskh Arabic" w:hAnsi="Noto Naskh Arabic" w:cs="Noto Naskh Arabic"/>
          <w:b w:val="0"/>
          <w:sz w:val="21"/>
        </w:rPr>
        <w:t>التفويض مكتوب ومحدد بالموضوع والقيمة والمدة ولا يلغي مسؤولية المفوض.</w:t>
      </w:r>
    </w:p>
    <w:p>
      <w:pPr>
        <w:pStyle w:val="ListBullet"/>
        <w:spacing w:after="60" w:line="269" w:lineRule="auto"/>
        <w:ind w:left="283" w:right="340"/>
        <w:jc w:val="right"/>
        <w:bidi w:val="1"/>
      </w:pPr>
      <w:r>
        <w:rPr>
          <w:rFonts w:ascii="Noto Naskh Arabic" w:hAnsi="Noto Naskh Arabic" w:cs="Noto Naskh Arabic"/>
          <w:b w:val="0"/>
          <w:sz w:val="21"/>
        </w:rPr>
        <w:t>لا يجمع شخص واحد بين طلب العملية واعتمادها وتنفيذها ومراجعتها متى أمكن.</w:t>
      </w:r>
    </w:p>
    <w:p>
      <w:pPr>
        <w:pStyle w:val="ListBullet"/>
        <w:spacing w:after="60" w:line="269" w:lineRule="auto"/>
        <w:ind w:left="283" w:right="340"/>
        <w:jc w:val="right"/>
        <w:bidi w:val="1"/>
      </w:pPr>
      <w:r>
        <w:rPr>
          <w:rFonts w:ascii="Noto Naskh Arabic" w:hAnsi="Noto Naskh Arabic" w:cs="Noto Naskh Arabic"/>
          <w:b w:val="0"/>
          <w:sz w:val="21"/>
        </w:rPr>
        <w:t>توقف الصلاحية عند انتهاء المدة أو تغير المسمى أو تعارض المصالح.</w:t>
      </w:r>
    </w:p>
    <w:p>
      <w:pPr>
        <w:spacing w:before="160" w:after="100" w:line="276" w:lineRule="auto"/>
        <w:jc w:val="right"/>
        <w:bidi w:val="1"/>
      </w:pPr>
      <w:r>
        <w:rPr>
          <w:rFonts w:ascii="Noto Naskh Arabic" w:hAnsi="Noto Naskh Arabic" w:cs="Noto Naskh Arabic"/>
          <w:b/>
          <w:color w:val="155B4C"/>
          <w:sz w:val="26"/>
        </w:rPr>
        <w:t>مجالات الصلاحيات</w:t>
      </w:r>
    </w:p>
    <w:p>
      <w:pPr>
        <w:pStyle w:val="ListBullet"/>
        <w:spacing w:after="60" w:line="269" w:lineRule="auto"/>
        <w:ind w:left="283" w:right="340"/>
        <w:jc w:val="right"/>
        <w:bidi w:val="1"/>
      </w:pPr>
      <w:r>
        <w:rPr>
          <w:rFonts w:ascii="Noto Naskh Arabic" w:hAnsi="Noto Naskh Arabic" w:cs="Noto Naskh Arabic"/>
          <w:b w:val="0"/>
          <w:sz w:val="21"/>
        </w:rPr>
        <w:t>اعتماد الخطط والموازنات والعقود والمشتريات والمدفوعات.</w:t>
      </w:r>
    </w:p>
    <w:p>
      <w:pPr>
        <w:pStyle w:val="ListBullet"/>
        <w:spacing w:after="60" w:line="269" w:lineRule="auto"/>
        <w:ind w:left="283" w:right="340"/>
        <w:jc w:val="right"/>
        <w:bidi w:val="1"/>
      </w:pPr>
      <w:r>
        <w:rPr>
          <w:rFonts w:ascii="Noto Naskh Arabic" w:hAnsi="Noto Naskh Arabic" w:cs="Noto Naskh Arabic"/>
          <w:b w:val="0"/>
          <w:sz w:val="21"/>
        </w:rPr>
        <w:t>التوظيف والترقيات والإجازات والجزاءات وإنهاء الخدمات.</w:t>
      </w:r>
    </w:p>
    <w:p>
      <w:pPr>
        <w:pStyle w:val="ListBullet"/>
        <w:spacing w:after="60" w:line="269" w:lineRule="auto"/>
        <w:ind w:left="283" w:right="340"/>
        <w:jc w:val="right"/>
        <w:bidi w:val="1"/>
      </w:pPr>
      <w:r>
        <w:rPr>
          <w:rFonts w:ascii="Noto Naskh Arabic" w:hAnsi="Noto Naskh Arabic" w:cs="Noto Naskh Arabic"/>
          <w:b w:val="0"/>
          <w:sz w:val="21"/>
        </w:rPr>
        <w:t>فتح الحسابات البنكية وإدارة المستخدمين والصلاحيات الإلكترونية.</w:t>
      </w:r>
    </w:p>
    <w:p>
      <w:pPr>
        <w:pStyle w:val="ListBullet"/>
        <w:spacing w:after="60" w:line="269" w:lineRule="auto"/>
        <w:ind w:left="283" w:right="340"/>
        <w:jc w:val="right"/>
        <w:bidi w:val="1"/>
      </w:pPr>
      <w:r>
        <w:rPr>
          <w:rFonts w:ascii="Noto Naskh Arabic" w:hAnsi="Noto Naskh Arabic" w:cs="Noto Naskh Arabic"/>
          <w:b w:val="0"/>
          <w:sz w:val="21"/>
        </w:rPr>
        <w:t>اعتماد البرامج والشراكات والاتفاقيات والإفصاحات.</w:t>
      </w:r>
    </w:p>
    <w:p>
      <w:pPr>
        <w:spacing w:before="160" w:after="100" w:line="276" w:lineRule="auto"/>
        <w:jc w:val="right"/>
        <w:bidi w:val="1"/>
      </w:pPr>
      <w:r>
        <w:rPr>
          <w:rFonts w:ascii="Noto Naskh Arabic" w:hAnsi="Noto Naskh Arabic" w:cs="Noto Naskh Arabic"/>
          <w:b/>
          <w:color w:val="155B4C"/>
          <w:sz w:val="26"/>
        </w:rPr>
        <w:t>مصفوفة نموذجية</w:t>
      </w:r>
    </w:p>
    <w:p>
      <w:pPr>
        <w:pStyle w:val="ListBullet"/>
        <w:spacing w:after="60" w:line="269" w:lineRule="auto"/>
        <w:ind w:left="283" w:right="340"/>
        <w:jc w:val="right"/>
        <w:bidi w:val="1"/>
      </w:pPr>
      <w:r>
        <w:rPr>
          <w:rFonts w:ascii="Noto Naskh Arabic" w:hAnsi="Noto Naskh Arabic" w:cs="Noto Naskh Arabic"/>
          <w:b w:val="0"/>
          <w:sz w:val="21"/>
        </w:rPr>
        <w:t>مجلس الإدارة: القرارات الاستراتيجية والالتزامات الكبرى والسياسات.</w:t>
      </w:r>
    </w:p>
    <w:p>
      <w:pPr>
        <w:pStyle w:val="ListBullet"/>
        <w:spacing w:after="60" w:line="269" w:lineRule="auto"/>
        <w:ind w:left="283" w:right="340"/>
        <w:jc w:val="right"/>
        <w:bidi w:val="1"/>
      </w:pPr>
      <w:r>
        <w:rPr>
          <w:rFonts w:ascii="Noto Naskh Arabic" w:hAnsi="Noto Naskh Arabic" w:cs="Noto Naskh Arabic"/>
          <w:b w:val="0"/>
          <w:sz w:val="21"/>
        </w:rPr>
        <w:t>رئيس المجلس أو من يفوضه: القرارات الواقعة ضمن التفويض المعتمد.</w:t>
      </w:r>
    </w:p>
    <w:p>
      <w:pPr>
        <w:pStyle w:val="ListBullet"/>
        <w:spacing w:after="60" w:line="269" w:lineRule="auto"/>
        <w:ind w:left="283" w:right="340"/>
        <w:jc w:val="right"/>
        <w:bidi w:val="1"/>
      </w:pPr>
      <w:r>
        <w:rPr>
          <w:rFonts w:ascii="Noto Naskh Arabic" w:hAnsi="Noto Naskh Arabic" w:cs="Noto Naskh Arabic"/>
          <w:b w:val="0"/>
          <w:sz w:val="21"/>
        </w:rPr>
        <w:t>المدير التنفيذي: التنفيذ ضمن الخطة والموازنة والصلاحيات.</w:t>
      </w:r>
    </w:p>
    <w:p>
      <w:pPr>
        <w:pStyle w:val="ListBullet"/>
        <w:spacing w:after="60" w:line="269" w:lineRule="auto"/>
        <w:ind w:left="283" w:right="340"/>
        <w:jc w:val="right"/>
        <w:bidi w:val="1"/>
      </w:pPr>
      <w:r>
        <w:rPr>
          <w:rFonts w:ascii="Noto Naskh Arabic" w:hAnsi="Noto Naskh Arabic" w:cs="Noto Naskh Arabic"/>
          <w:b w:val="0"/>
          <w:sz w:val="21"/>
        </w:rPr>
        <w:t>المشرف المالي أو الإدارة المالية: المراجعة المالية والتحقق والمطابقة.</w:t>
      </w:r>
    </w:p>
    <w:p>
      <w:pPr>
        <w:spacing w:before="160" w:after="100" w:line="276" w:lineRule="auto"/>
        <w:jc w:val="right"/>
        <w:bidi w:val="1"/>
      </w:pPr>
      <w:r>
        <w:rPr>
          <w:rFonts w:ascii="Noto Naskh Arabic" w:hAnsi="Noto Naskh Arabic" w:cs="Noto Naskh Arabic"/>
          <w:b/>
          <w:color w:val="155B4C"/>
          <w:sz w:val="26"/>
        </w:rPr>
        <w:t>الاستثناءات</w:t>
      </w:r>
    </w:p>
    <w:p>
      <w:pPr>
        <w:pStyle w:val="ListBullet"/>
        <w:spacing w:after="60" w:line="269" w:lineRule="auto"/>
        <w:ind w:left="283" w:right="340"/>
        <w:jc w:val="right"/>
        <w:bidi w:val="1"/>
      </w:pPr>
      <w:r>
        <w:rPr>
          <w:rFonts w:ascii="Noto Naskh Arabic" w:hAnsi="Noto Naskh Arabic" w:cs="Noto Naskh Arabic"/>
          <w:b w:val="0"/>
          <w:sz w:val="21"/>
        </w:rPr>
        <w:t>توثق الحالات الطارئة وأسبابها وموافقة صاحب الصلاحية، وتعرض لاحقًا على الجهة المختصة للمصادقة.</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