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نموذج التقرير السنوي</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التقارير العامة.</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الغرض</w:t>
      </w:r>
    </w:p>
    <w:p>
      <w:pPr>
        <w:pStyle w:val="ListBullet"/>
        <w:spacing w:after="60" w:line="269" w:lineRule="auto"/>
        <w:ind w:left="283" w:right="340"/>
        <w:jc w:val="right"/>
        <w:bidi w:val="1"/>
      </w:pPr>
      <w:r>
        <w:rPr>
          <w:rFonts w:ascii="Noto Naskh Arabic" w:hAnsi="Noto Naskh Arabic" w:cs="Noto Naskh Arabic"/>
          <w:b w:val="0"/>
          <w:sz w:val="21"/>
        </w:rPr>
        <w:t>عرض أداء الجمعية ونتائجها ومواردها وحوكمتها بشفافية لأصحاب المصلحة.</w:t>
      </w:r>
    </w:p>
    <w:p>
      <w:pPr>
        <w:spacing w:before="160" w:after="100" w:line="276" w:lineRule="auto"/>
        <w:jc w:val="right"/>
        <w:bidi w:val="1"/>
      </w:pPr>
      <w:r>
        <w:rPr>
          <w:rFonts w:ascii="Noto Naskh Arabic" w:hAnsi="Noto Naskh Arabic" w:cs="Noto Naskh Arabic"/>
          <w:b/>
          <w:color w:val="155B4C"/>
          <w:sz w:val="26"/>
        </w:rPr>
        <w:t>الهيكل المقترح</w:t>
      </w:r>
    </w:p>
    <w:p>
      <w:pPr>
        <w:pStyle w:val="ListBullet"/>
        <w:spacing w:after="60" w:line="269" w:lineRule="auto"/>
        <w:ind w:left="283" w:right="340"/>
        <w:jc w:val="right"/>
        <w:bidi w:val="1"/>
      </w:pPr>
      <w:r>
        <w:rPr>
          <w:rFonts w:ascii="Noto Naskh Arabic" w:hAnsi="Noto Naskh Arabic" w:cs="Noto Naskh Arabic"/>
          <w:b w:val="0"/>
          <w:sz w:val="21"/>
        </w:rPr>
        <w:t>كلمة رئيس مجلس الإدارة والمدير التنفيذي.</w:t>
      </w:r>
    </w:p>
    <w:p>
      <w:pPr>
        <w:pStyle w:val="ListBullet"/>
        <w:spacing w:after="60" w:line="269" w:lineRule="auto"/>
        <w:ind w:left="283" w:right="340"/>
        <w:jc w:val="right"/>
        <w:bidi w:val="1"/>
      </w:pPr>
      <w:r>
        <w:rPr>
          <w:rFonts w:ascii="Noto Naskh Arabic" w:hAnsi="Noto Naskh Arabic" w:cs="Noto Naskh Arabic"/>
          <w:b w:val="0"/>
          <w:sz w:val="21"/>
        </w:rPr>
        <w:t>نبذة ورسالة ورؤية وقيم ونطاق جغرافي وفئات مستفيدة.</w:t>
      </w:r>
    </w:p>
    <w:p>
      <w:pPr>
        <w:pStyle w:val="ListBullet"/>
        <w:spacing w:after="60" w:line="269" w:lineRule="auto"/>
        <w:ind w:left="283" w:right="340"/>
        <w:jc w:val="right"/>
        <w:bidi w:val="1"/>
      </w:pPr>
      <w:r>
        <w:rPr>
          <w:rFonts w:ascii="Noto Naskh Arabic" w:hAnsi="Noto Naskh Arabic" w:cs="Noto Naskh Arabic"/>
          <w:b w:val="0"/>
          <w:sz w:val="21"/>
        </w:rPr>
        <w:t>أعضاء مجلس الإدارة واللجان والإدارة التنفيذية.</w:t>
      </w:r>
    </w:p>
    <w:p>
      <w:pPr>
        <w:pStyle w:val="ListBullet"/>
        <w:spacing w:after="60" w:line="269" w:lineRule="auto"/>
        <w:ind w:left="283" w:right="340"/>
        <w:jc w:val="right"/>
        <w:bidi w:val="1"/>
      </w:pPr>
      <w:r>
        <w:rPr>
          <w:rFonts w:ascii="Noto Naskh Arabic" w:hAnsi="Noto Naskh Arabic" w:cs="Noto Naskh Arabic"/>
          <w:b w:val="0"/>
          <w:sz w:val="21"/>
        </w:rPr>
        <w:t>أبرز البرامج والمشروعات والنتائج وقصص الأثر بموافقات مناسبة.</w:t>
      </w:r>
    </w:p>
    <w:p>
      <w:pPr>
        <w:pStyle w:val="ListBullet"/>
        <w:spacing w:after="60" w:line="269" w:lineRule="auto"/>
        <w:ind w:left="283" w:right="340"/>
        <w:jc w:val="right"/>
        <w:bidi w:val="1"/>
      </w:pPr>
      <w:r>
        <w:rPr>
          <w:rFonts w:ascii="Noto Naskh Arabic" w:hAnsi="Noto Naskh Arabic" w:cs="Noto Naskh Arabic"/>
          <w:b w:val="0"/>
          <w:sz w:val="21"/>
        </w:rPr>
        <w:t>مؤشرات المستفيدين والمتطوعين والشراكات ورضا أصحاب المصلحة.</w:t>
      </w:r>
    </w:p>
    <w:p>
      <w:pPr>
        <w:pStyle w:val="ListBullet"/>
        <w:spacing w:after="60" w:line="269" w:lineRule="auto"/>
        <w:ind w:left="283" w:right="340"/>
        <w:jc w:val="right"/>
        <w:bidi w:val="1"/>
      </w:pPr>
      <w:r>
        <w:rPr>
          <w:rFonts w:ascii="Noto Naskh Arabic" w:hAnsi="Noto Naskh Arabic" w:cs="Noto Naskh Arabic"/>
          <w:b w:val="0"/>
          <w:sz w:val="21"/>
        </w:rPr>
        <w:t>ملخص الأداء المالي ومصادر الإيرادات وأوجه الصرف.</w:t>
      </w:r>
    </w:p>
    <w:p>
      <w:pPr>
        <w:pStyle w:val="ListBullet"/>
        <w:spacing w:after="60" w:line="269" w:lineRule="auto"/>
        <w:ind w:left="283" w:right="340"/>
        <w:jc w:val="right"/>
        <w:bidi w:val="1"/>
      </w:pPr>
      <w:r>
        <w:rPr>
          <w:rFonts w:ascii="Noto Naskh Arabic" w:hAnsi="Noto Naskh Arabic" w:cs="Noto Naskh Arabic"/>
          <w:b w:val="0"/>
          <w:sz w:val="21"/>
        </w:rPr>
        <w:t>الحوكمة والامتثال والمخاطر والسياسات المعتمدة.</w:t>
      </w:r>
    </w:p>
    <w:p>
      <w:pPr>
        <w:pStyle w:val="ListBullet"/>
        <w:spacing w:after="60" w:line="269" w:lineRule="auto"/>
        <w:ind w:left="283" w:right="340"/>
        <w:jc w:val="right"/>
        <w:bidi w:val="1"/>
      </w:pPr>
      <w:r>
        <w:rPr>
          <w:rFonts w:ascii="Noto Naskh Arabic" w:hAnsi="Noto Naskh Arabic" w:cs="Noto Naskh Arabic"/>
          <w:b w:val="0"/>
          <w:sz w:val="21"/>
        </w:rPr>
        <w:t>التحديات والتعلم وأولويات العام القادم.</w:t>
      </w:r>
    </w:p>
    <w:p>
      <w:pPr>
        <w:spacing w:before="160" w:after="100" w:line="276" w:lineRule="auto"/>
        <w:jc w:val="right"/>
        <w:bidi w:val="1"/>
      </w:pPr>
      <w:r>
        <w:rPr>
          <w:rFonts w:ascii="Noto Naskh Arabic" w:hAnsi="Noto Naskh Arabic" w:cs="Noto Naskh Arabic"/>
          <w:b/>
          <w:color w:val="155B4C"/>
          <w:sz w:val="26"/>
        </w:rPr>
        <w:t>ضوابط البيانات</w:t>
      </w:r>
    </w:p>
    <w:p>
      <w:pPr>
        <w:pStyle w:val="ListBullet"/>
        <w:spacing w:after="60" w:line="269" w:lineRule="auto"/>
        <w:ind w:left="283" w:right="340"/>
        <w:jc w:val="right"/>
        <w:bidi w:val="1"/>
      </w:pPr>
      <w:r>
        <w:rPr>
          <w:rFonts w:ascii="Noto Naskh Arabic" w:hAnsi="Noto Naskh Arabic" w:cs="Noto Naskh Arabic"/>
          <w:b w:val="0"/>
          <w:sz w:val="21"/>
        </w:rPr>
        <w:t>تطابق الأرقام مع الأنظمة والقوائم والتقارير المعتمدة.</w:t>
      </w:r>
    </w:p>
    <w:p>
      <w:pPr>
        <w:pStyle w:val="ListBullet"/>
        <w:spacing w:after="60" w:line="269" w:lineRule="auto"/>
        <w:ind w:left="283" w:right="340"/>
        <w:jc w:val="right"/>
        <w:bidi w:val="1"/>
      </w:pPr>
      <w:r>
        <w:rPr>
          <w:rFonts w:ascii="Noto Naskh Arabic" w:hAnsi="Noto Naskh Arabic" w:cs="Noto Naskh Arabic"/>
          <w:b w:val="0"/>
          <w:sz w:val="21"/>
        </w:rPr>
        <w:t>حماية بيانات المستفيدين والحصول على الموافقات اللازمة للصور والقصص.</w:t>
      </w:r>
    </w:p>
    <w:p>
      <w:pPr>
        <w:pStyle w:val="ListBullet"/>
        <w:spacing w:after="60" w:line="269" w:lineRule="auto"/>
        <w:ind w:left="283" w:right="340"/>
        <w:jc w:val="right"/>
        <w:bidi w:val="1"/>
      </w:pPr>
      <w:r>
        <w:rPr>
          <w:rFonts w:ascii="Noto Naskh Arabic" w:hAnsi="Noto Naskh Arabic" w:cs="Noto Naskh Arabic"/>
          <w:b w:val="0"/>
          <w:sz w:val="21"/>
        </w:rPr>
        <w:t>تمييز النتائج المحققة عن الخطط أو التقديرات.</w:t>
      </w:r>
    </w:p>
    <w:p>
      <w:pPr>
        <w:spacing w:before="160" w:after="100" w:line="276" w:lineRule="auto"/>
        <w:jc w:val="right"/>
        <w:bidi w:val="1"/>
      </w:pPr>
      <w:r>
        <w:rPr>
          <w:rFonts w:ascii="Noto Naskh Arabic" w:hAnsi="Noto Naskh Arabic" w:cs="Noto Naskh Arabic"/>
          <w:b/>
          <w:color w:val="155B4C"/>
          <w:sz w:val="26"/>
        </w:rPr>
        <w:t>اعتماد ونشر</w:t>
      </w:r>
    </w:p>
    <w:p>
      <w:pPr>
        <w:pStyle w:val="ListBullet"/>
        <w:spacing w:after="60" w:line="269" w:lineRule="auto"/>
        <w:ind w:left="283" w:right="340"/>
        <w:jc w:val="right"/>
        <w:bidi w:val="1"/>
      </w:pPr>
      <w:r>
        <w:rPr>
          <w:rFonts w:ascii="Noto Naskh Arabic" w:hAnsi="Noto Naskh Arabic" w:cs="Noto Naskh Arabic"/>
          <w:b w:val="0"/>
          <w:sz w:val="21"/>
        </w:rPr>
        <w:t>يراجع التقرير فنيًا وماليًا وقانونيًا، ويعتمد وفق الصلاحيات قبل النشر.</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