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لائحة العمل التطوعي</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اللوائح والنموذج الشامل.</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تنظيم استقطاب المتطوعين وإدارتهم وحمايتهم وربط الفرص باحتياجات الجمعية.</w:t>
      </w:r>
    </w:p>
    <w:p>
      <w:pPr>
        <w:spacing w:before="160" w:after="100" w:line="276" w:lineRule="auto"/>
        <w:jc w:val="right"/>
        <w:bidi w:val="1"/>
      </w:pPr>
      <w:r>
        <w:rPr>
          <w:rFonts w:ascii="Noto Naskh Arabic" w:hAnsi="Noto Naskh Arabic" w:cs="Noto Naskh Arabic"/>
          <w:b/>
          <w:color w:val="155B4C"/>
          <w:sz w:val="26"/>
        </w:rPr>
        <w:t>تصميم الفرص</w:t>
      </w:r>
    </w:p>
    <w:p>
      <w:pPr>
        <w:pStyle w:val="ListBullet"/>
        <w:spacing w:after="60" w:line="269" w:lineRule="auto"/>
        <w:ind w:left="283" w:right="340"/>
        <w:jc w:val="right"/>
        <w:bidi w:val="1"/>
      </w:pPr>
      <w:r>
        <w:rPr>
          <w:rFonts w:ascii="Noto Naskh Arabic" w:hAnsi="Noto Naskh Arabic" w:cs="Noto Naskh Arabic"/>
          <w:b w:val="0"/>
          <w:sz w:val="21"/>
        </w:rPr>
        <w:t>تحدد المهمة والمدة والموقع والمهارات والمخاطر والمشرف والمخرجات.</w:t>
      </w:r>
    </w:p>
    <w:p>
      <w:pPr>
        <w:pStyle w:val="ListBullet"/>
        <w:spacing w:after="60" w:line="269" w:lineRule="auto"/>
        <w:ind w:left="283" w:right="340"/>
        <w:jc w:val="right"/>
        <w:bidi w:val="1"/>
      </w:pPr>
      <w:r>
        <w:rPr>
          <w:rFonts w:ascii="Noto Naskh Arabic" w:hAnsi="Noto Naskh Arabic" w:cs="Noto Naskh Arabic"/>
          <w:b w:val="0"/>
          <w:sz w:val="21"/>
        </w:rPr>
        <w:t>لا يستخدم المتطوع بديلًا دائمًا لوظيفة مدفوعة بطريقة تخل بالحقوق أو الجودة.</w:t>
      </w:r>
    </w:p>
    <w:p>
      <w:pPr>
        <w:spacing w:before="160" w:after="100" w:line="276" w:lineRule="auto"/>
        <w:jc w:val="right"/>
        <w:bidi w:val="1"/>
      </w:pPr>
      <w:r>
        <w:rPr>
          <w:rFonts w:ascii="Noto Naskh Arabic" w:hAnsi="Noto Naskh Arabic" w:cs="Noto Naskh Arabic"/>
          <w:b/>
          <w:color w:val="155B4C"/>
          <w:sz w:val="26"/>
        </w:rPr>
        <w:t>الاستقطاب والاختيار</w:t>
      </w:r>
    </w:p>
    <w:p>
      <w:pPr>
        <w:pStyle w:val="ListBullet"/>
        <w:spacing w:after="60" w:line="269" w:lineRule="auto"/>
        <w:ind w:left="283" w:right="340"/>
        <w:jc w:val="right"/>
        <w:bidi w:val="1"/>
      </w:pPr>
      <w:r>
        <w:rPr>
          <w:rFonts w:ascii="Noto Naskh Arabic" w:hAnsi="Noto Naskh Arabic" w:cs="Noto Naskh Arabic"/>
          <w:b w:val="0"/>
          <w:sz w:val="21"/>
        </w:rPr>
        <w:t>تعلن الفرص بوضوح وتطبق معايير عادلة، وتتحقق المتطلبات الخاصة عند التعامل مع فئات حساسة.</w:t>
      </w:r>
    </w:p>
    <w:p>
      <w:pPr>
        <w:spacing w:before="160" w:after="100" w:line="276" w:lineRule="auto"/>
        <w:jc w:val="right"/>
        <w:bidi w:val="1"/>
      </w:pPr>
      <w:r>
        <w:rPr>
          <w:rFonts w:ascii="Noto Naskh Arabic" w:hAnsi="Noto Naskh Arabic" w:cs="Noto Naskh Arabic"/>
          <w:b/>
          <w:color w:val="155B4C"/>
          <w:sz w:val="26"/>
        </w:rPr>
        <w:t>التوجيه والإشراف</w:t>
      </w:r>
    </w:p>
    <w:p>
      <w:pPr>
        <w:pStyle w:val="ListBullet"/>
        <w:spacing w:after="60" w:line="269" w:lineRule="auto"/>
        <w:ind w:left="283" w:right="340"/>
        <w:jc w:val="right"/>
        <w:bidi w:val="1"/>
      </w:pPr>
      <w:r>
        <w:rPr>
          <w:rFonts w:ascii="Noto Naskh Arabic" w:hAnsi="Noto Naskh Arabic" w:cs="Noto Naskh Arabic"/>
          <w:b w:val="0"/>
          <w:sz w:val="21"/>
        </w:rPr>
        <w:t>يوقع المتطوع على اتفاق أو ميثاق يوضح الحقوق والواجبات والسرية.</w:t>
      </w:r>
    </w:p>
    <w:p>
      <w:pPr>
        <w:pStyle w:val="ListBullet"/>
        <w:spacing w:after="60" w:line="269" w:lineRule="auto"/>
        <w:ind w:left="283" w:right="340"/>
        <w:jc w:val="right"/>
        <w:bidi w:val="1"/>
      </w:pPr>
      <w:r>
        <w:rPr>
          <w:rFonts w:ascii="Noto Naskh Arabic" w:hAnsi="Noto Naskh Arabic" w:cs="Noto Naskh Arabic"/>
          <w:b w:val="0"/>
          <w:sz w:val="21"/>
        </w:rPr>
        <w:t>يقدم تعريف بالجمعية والمهمة والسلامة وآلية الإبلاغ عن الحوادث.</w:t>
      </w:r>
    </w:p>
    <w:p>
      <w:pPr>
        <w:spacing w:before="160" w:after="100" w:line="276" w:lineRule="auto"/>
        <w:jc w:val="right"/>
        <w:bidi w:val="1"/>
      </w:pPr>
      <w:r>
        <w:rPr>
          <w:rFonts w:ascii="Noto Naskh Arabic" w:hAnsi="Noto Naskh Arabic" w:cs="Noto Naskh Arabic"/>
          <w:b/>
          <w:color w:val="155B4C"/>
          <w:sz w:val="26"/>
        </w:rPr>
        <w:t>السجلات والتقدير</w:t>
      </w:r>
    </w:p>
    <w:p>
      <w:pPr>
        <w:pStyle w:val="ListBullet"/>
        <w:spacing w:after="60" w:line="269" w:lineRule="auto"/>
        <w:ind w:left="283" w:right="340"/>
        <w:jc w:val="right"/>
        <w:bidi w:val="1"/>
      </w:pPr>
      <w:r>
        <w:rPr>
          <w:rFonts w:ascii="Noto Naskh Arabic" w:hAnsi="Noto Naskh Arabic" w:cs="Noto Naskh Arabic"/>
          <w:b w:val="0"/>
          <w:sz w:val="21"/>
        </w:rPr>
        <w:t>توثق الساعات والمهام والتقييم والشهادات.</w:t>
      </w:r>
    </w:p>
    <w:p>
      <w:pPr>
        <w:pStyle w:val="ListBullet"/>
        <w:spacing w:after="60" w:line="269" w:lineRule="auto"/>
        <w:ind w:left="283" w:right="340"/>
        <w:jc w:val="right"/>
        <w:bidi w:val="1"/>
      </w:pPr>
      <w:r>
        <w:rPr>
          <w:rFonts w:ascii="Noto Naskh Arabic" w:hAnsi="Noto Naskh Arabic" w:cs="Noto Naskh Arabic"/>
          <w:b w:val="0"/>
          <w:sz w:val="21"/>
        </w:rPr>
        <w:t>يعترف بمساهمات المتطوعين دون وعود مالية غير معتمدة.</w:t>
      </w:r>
    </w:p>
    <w:p>
      <w:pPr>
        <w:spacing w:before="160" w:after="100" w:line="276" w:lineRule="auto"/>
        <w:jc w:val="right"/>
        <w:bidi w:val="1"/>
      </w:pPr>
      <w:r>
        <w:rPr>
          <w:rFonts w:ascii="Noto Naskh Arabic" w:hAnsi="Noto Naskh Arabic" w:cs="Noto Naskh Arabic"/>
          <w:b/>
          <w:color w:val="155B4C"/>
          <w:sz w:val="26"/>
        </w:rPr>
        <w:t>الشكاوى وإنهاء المشاركة</w:t>
      </w:r>
    </w:p>
    <w:p>
      <w:pPr>
        <w:pStyle w:val="ListBullet"/>
        <w:spacing w:after="60" w:line="269" w:lineRule="auto"/>
        <w:ind w:left="283" w:right="340"/>
        <w:jc w:val="right"/>
        <w:bidi w:val="1"/>
      </w:pPr>
      <w:r>
        <w:rPr>
          <w:rFonts w:ascii="Noto Naskh Arabic" w:hAnsi="Noto Naskh Arabic" w:cs="Noto Naskh Arabic"/>
          <w:b w:val="0"/>
          <w:sz w:val="21"/>
        </w:rPr>
        <w:t>تتاح قناة آمنة للشكاوى، ويجوز إنهاء المشاركة عند الإخلال بالالتزامات بعد إجراء عادل.</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