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نموذج محضر اجتماع الجمعية العمومية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محاضر الجمعية العمومية.</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بيانات الاجتماع</w:t>
      </w:r>
    </w:p>
    <w:p>
      <w:pPr>
        <w:pStyle w:val="ListBullet"/>
        <w:spacing w:after="60" w:line="269" w:lineRule="auto"/>
        <w:ind w:left="283" w:right="340"/>
        <w:jc w:val="right"/>
        <w:bidi w:val="1"/>
      </w:pPr>
      <w:r>
        <w:rPr>
          <w:rFonts w:ascii="Noto Naskh Arabic" w:hAnsi="Noto Naskh Arabic" w:cs="Noto Naskh Arabic"/>
          <w:b w:val="0"/>
          <w:sz w:val="21"/>
        </w:rPr>
        <w:t>نوع الاجتماع: [عادي/غير عادي].</w:t>
      </w:r>
    </w:p>
    <w:p>
      <w:pPr>
        <w:pStyle w:val="ListBullet"/>
        <w:spacing w:after="60" w:line="269" w:lineRule="auto"/>
        <w:ind w:left="283" w:right="340"/>
        <w:jc w:val="right"/>
        <w:bidi w:val="1"/>
      </w:pPr>
      <w:r>
        <w:rPr>
          <w:rFonts w:ascii="Noto Naskh Arabic" w:hAnsi="Noto Naskh Arabic" w:cs="Noto Naskh Arabic"/>
          <w:b w:val="0"/>
          <w:sz w:val="21"/>
        </w:rPr>
        <w:t>رقم الاجتماع وتاريخه ووقته ومكانه أو وسيلة انعقاده.</w:t>
      </w:r>
    </w:p>
    <w:p>
      <w:pPr>
        <w:pStyle w:val="ListBullet"/>
        <w:spacing w:after="60" w:line="269" w:lineRule="auto"/>
        <w:ind w:left="283" w:right="340"/>
        <w:jc w:val="right"/>
        <w:bidi w:val="1"/>
      </w:pPr>
      <w:r>
        <w:rPr>
          <w:rFonts w:ascii="Noto Naskh Arabic" w:hAnsi="Noto Naskh Arabic" w:cs="Noto Naskh Arabic"/>
          <w:b w:val="0"/>
          <w:sz w:val="21"/>
        </w:rPr>
        <w:t>عدد الأعضاء المسجلين والحاضرين والممثلين ونسبة الحضور والتحقق من النصاب.</w:t>
      </w:r>
    </w:p>
    <w:p>
      <w:pPr>
        <w:spacing w:before="160" w:after="100" w:line="276" w:lineRule="auto"/>
        <w:jc w:val="right"/>
        <w:bidi w:val="1"/>
      </w:pPr>
      <w:r>
        <w:rPr>
          <w:rFonts w:ascii="Noto Naskh Arabic" w:hAnsi="Noto Naskh Arabic" w:cs="Noto Naskh Arabic"/>
          <w:b/>
          <w:color w:val="155B4C"/>
          <w:sz w:val="26"/>
        </w:rPr>
        <w:t>الحضور</w:t>
      </w:r>
    </w:p>
    <w:p>
      <w:pPr>
        <w:pStyle w:val="ListBullet"/>
        <w:spacing w:after="60" w:line="269" w:lineRule="auto"/>
        <w:ind w:left="283" w:right="340"/>
        <w:jc w:val="right"/>
        <w:bidi w:val="1"/>
      </w:pPr>
      <w:r>
        <w:rPr>
          <w:rFonts w:ascii="Noto Naskh Arabic" w:hAnsi="Noto Naskh Arabic" w:cs="Noto Naskh Arabic"/>
          <w:b w:val="0"/>
          <w:sz w:val="21"/>
        </w:rPr>
        <w:t>رئيس الاجتماع، أمين المحضر، ممثل الجهة المشرفة عند وجوده، مراقب التصويت، وأسماء الأعضاء أو كشف مرفق.</w:t>
      </w:r>
    </w:p>
    <w:p>
      <w:pPr>
        <w:spacing w:before="160" w:after="100" w:line="276" w:lineRule="auto"/>
        <w:jc w:val="right"/>
        <w:bidi w:val="1"/>
      </w:pPr>
      <w:r>
        <w:rPr>
          <w:rFonts w:ascii="Noto Naskh Arabic" w:hAnsi="Noto Naskh Arabic" w:cs="Noto Naskh Arabic"/>
          <w:b/>
          <w:color w:val="155B4C"/>
          <w:sz w:val="26"/>
        </w:rPr>
        <w:t>جدول الأعمال</w:t>
      </w:r>
    </w:p>
    <w:p>
      <w:pPr>
        <w:pStyle w:val="ListBullet"/>
        <w:spacing w:after="60" w:line="269" w:lineRule="auto"/>
        <w:ind w:left="283" w:right="340"/>
        <w:jc w:val="right"/>
        <w:bidi w:val="1"/>
      </w:pPr>
      <w:r>
        <w:rPr>
          <w:rFonts w:ascii="Noto Naskh Arabic" w:hAnsi="Noto Naskh Arabic" w:cs="Noto Naskh Arabic"/>
          <w:b w:val="0"/>
          <w:sz w:val="21"/>
        </w:rPr>
        <w:t>افتتاح الاجتماع والتحقق من النصاب.</w:t>
      </w:r>
    </w:p>
    <w:p>
      <w:pPr>
        <w:pStyle w:val="ListBullet"/>
        <w:spacing w:after="60" w:line="269" w:lineRule="auto"/>
        <w:ind w:left="283" w:right="340"/>
        <w:jc w:val="right"/>
        <w:bidi w:val="1"/>
      </w:pPr>
      <w:r>
        <w:rPr>
          <w:rFonts w:ascii="Noto Naskh Arabic" w:hAnsi="Noto Naskh Arabic" w:cs="Noto Naskh Arabic"/>
          <w:b w:val="0"/>
          <w:sz w:val="21"/>
        </w:rPr>
        <w:t>اعتماد جدول الأعمال والمحضر السابق.</w:t>
      </w:r>
    </w:p>
    <w:p>
      <w:pPr>
        <w:pStyle w:val="ListBullet"/>
        <w:spacing w:after="60" w:line="269" w:lineRule="auto"/>
        <w:ind w:left="283" w:right="340"/>
        <w:jc w:val="right"/>
        <w:bidi w:val="1"/>
      </w:pPr>
      <w:r>
        <w:rPr>
          <w:rFonts w:ascii="Noto Naskh Arabic" w:hAnsi="Noto Naskh Arabic" w:cs="Noto Naskh Arabic"/>
          <w:b w:val="0"/>
          <w:sz w:val="21"/>
        </w:rPr>
        <w:t>مناقشة التقارير الإدارية والمالية وتقرير مراجع الحسابات.</w:t>
      </w:r>
    </w:p>
    <w:p>
      <w:pPr>
        <w:pStyle w:val="ListBullet"/>
        <w:spacing w:after="60" w:line="269" w:lineRule="auto"/>
        <w:ind w:left="283" w:right="340"/>
        <w:jc w:val="right"/>
        <w:bidi w:val="1"/>
      </w:pPr>
      <w:r>
        <w:rPr>
          <w:rFonts w:ascii="Noto Naskh Arabic" w:hAnsi="Noto Naskh Arabic" w:cs="Noto Naskh Arabic"/>
          <w:b w:val="0"/>
          <w:sz w:val="21"/>
        </w:rPr>
        <w:t>الانتخابات أو التعيينات أو التعديلات أو القرارات الأخرى.</w:t>
      </w:r>
    </w:p>
    <w:p>
      <w:pPr>
        <w:spacing w:before="160" w:after="100" w:line="276" w:lineRule="auto"/>
        <w:jc w:val="right"/>
        <w:bidi w:val="1"/>
      </w:pPr>
      <w:r>
        <w:rPr>
          <w:rFonts w:ascii="Noto Naskh Arabic" w:hAnsi="Noto Naskh Arabic" w:cs="Noto Naskh Arabic"/>
          <w:b/>
          <w:color w:val="155B4C"/>
          <w:sz w:val="26"/>
        </w:rPr>
        <w:t>توثيق القرارات</w:t>
      </w:r>
    </w:p>
    <w:p>
      <w:pPr>
        <w:pStyle w:val="ListBullet"/>
        <w:spacing w:after="60" w:line="269" w:lineRule="auto"/>
        <w:ind w:left="283" w:right="340"/>
        <w:jc w:val="right"/>
        <w:bidi w:val="1"/>
      </w:pPr>
      <w:r>
        <w:rPr>
          <w:rFonts w:ascii="Noto Naskh Arabic" w:hAnsi="Noto Naskh Arabic" w:cs="Noto Naskh Arabic"/>
          <w:b w:val="0"/>
          <w:sz w:val="21"/>
        </w:rPr>
        <w:t>يصاغ كل قرار بوضوح ويثبت عدد الأصوات المؤيدة والمعارضة والممتنعة، وأي تحفظ أو تعارض مصالح.</w:t>
      </w:r>
    </w:p>
    <w:p>
      <w:pPr>
        <w:pStyle w:val="ListBullet"/>
        <w:spacing w:after="60" w:line="269" w:lineRule="auto"/>
        <w:ind w:left="283" w:right="340"/>
        <w:jc w:val="right"/>
        <w:bidi w:val="1"/>
      </w:pPr>
      <w:r>
        <w:rPr>
          <w:rFonts w:ascii="Noto Naskh Arabic" w:hAnsi="Noto Naskh Arabic" w:cs="Noto Naskh Arabic"/>
          <w:b w:val="0"/>
          <w:sz w:val="21"/>
        </w:rPr>
        <w:t>تحدد الجهة المسؤولة عن التنفيذ والموعد وأسلوب المتابعة.</w:t>
      </w:r>
    </w:p>
    <w:p>
      <w:pPr>
        <w:spacing w:before="160" w:after="100" w:line="276" w:lineRule="auto"/>
        <w:jc w:val="right"/>
        <w:bidi w:val="1"/>
      </w:pPr>
      <w:r>
        <w:rPr>
          <w:rFonts w:ascii="Noto Naskh Arabic" w:hAnsi="Noto Naskh Arabic" w:cs="Noto Naskh Arabic"/>
          <w:b/>
          <w:color w:val="155B4C"/>
          <w:sz w:val="26"/>
        </w:rPr>
        <w:t>المرفقات</w:t>
      </w:r>
    </w:p>
    <w:p>
      <w:pPr>
        <w:pStyle w:val="ListBullet"/>
        <w:spacing w:after="60" w:line="269" w:lineRule="auto"/>
        <w:ind w:left="283" w:right="340"/>
        <w:jc w:val="right"/>
        <w:bidi w:val="1"/>
      </w:pPr>
      <w:r>
        <w:rPr>
          <w:rFonts w:ascii="Noto Naskh Arabic" w:hAnsi="Noto Naskh Arabic" w:cs="Noto Naskh Arabic"/>
          <w:b w:val="0"/>
          <w:sz w:val="21"/>
        </w:rPr>
        <w:t>دعوة الاجتماع، كشف الحضور، عروض وتقارير، أوراق التصويت، التفويضات، وأي مستندات مؤيدة.</w:t>
      </w:r>
    </w:p>
    <w:p>
      <w:pPr>
        <w:spacing w:before="160" w:after="100" w:line="276" w:lineRule="auto"/>
        <w:jc w:val="right"/>
        <w:bidi w:val="1"/>
      </w:pPr>
      <w:r>
        <w:rPr>
          <w:rFonts w:ascii="Noto Naskh Arabic" w:hAnsi="Noto Naskh Arabic" w:cs="Noto Naskh Arabic"/>
          <w:b/>
          <w:color w:val="155B4C"/>
          <w:sz w:val="26"/>
        </w:rPr>
        <w:t>التوقيع</w:t>
      </w:r>
    </w:p>
    <w:p>
      <w:pPr>
        <w:pStyle w:val="ListBullet"/>
        <w:spacing w:after="60" w:line="269" w:lineRule="auto"/>
        <w:ind w:left="283" w:right="340"/>
        <w:jc w:val="right"/>
        <w:bidi w:val="1"/>
      </w:pPr>
      <w:r>
        <w:rPr>
          <w:rFonts w:ascii="Noto Naskh Arabic" w:hAnsi="Noto Naskh Arabic" w:cs="Noto Naskh Arabic"/>
          <w:b w:val="0"/>
          <w:sz w:val="21"/>
        </w:rPr>
        <w:t>يوقع رئيس الاجتماع وأمين المحضر ومن يلزم نظامًا، وتحفظ النسخة المعتمدة وترفع للجهات المختصة عند الحاجة.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