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360" w:after="80"/>
        <w:jc w:val="center"/>
        <w:bidi w:val="1"/>
      </w:pPr>
      <w:r>
        <w:rPr>
          <w:rFonts w:ascii="Noto Kufi Arabic" w:hAnsi="Noto Kufi Arabic" w:cs="Noto Kufi Arabic"/>
          <w:b/>
          <w:color w:val="0F5C4D"/>
          <w:sz w:val="44"/>
        </w:rPr>
        <w:t>اللائحة المالية</w:t>
      </w:r>
    </w:p>
    <w:p>
      <w:pPr>
        <w:jc w:val="center"/>
        <w:bidi w:val="1"/>
      </w:pPr>
      <w:r>
        <w:rPr>
          <w:rFonts w:ascii="Noto Sans Arabic" w:hAnsi="Noto Sans Arabic" w:cs="Noto Sans Arabic"/>
          <w:b/>
          <w:color w:val="B77E16"/>
          <w:sz w:val="22"/>
        </w:rPr>
        <w:t>نموذج استرشادي قابل للتعديل</w:t>
      </w:r>
    </w:p>
    <w:tbl>
      <w:tblPr>
        <w:tblStyle w:val="TableGrid"/>
        <w:tblW w:type="auto" w:w="0"/>
        <w:jc w:val="center"/>
        <w:tblLook w:firstColumn="1" w:firstRow="1" w:lastColumn="0" w:lastRow="0" w:noHBand="0" w:noVBand="1" w:val="04A0"/>
      </w:tblPr>
      <w:tblGrid>
        <w:gridCol w:w="2606"/>
        <w:gridCol w:w="2606"/>
        <w:gridCol w:w="2606"/>
        <w:gridCol w:w="2606"/>
      </w:tblGrid>
      <w:tr>
        <w:tc>
          <w:tcPr>
            <w:tcW w:type="dxa" w:w="2606"/>
            <w:vAlign w:val="center"/>
            <w:shd w:fill="155B4C"/>
          </w:tcPr>
          <w:p>
            <w:pPr>
              <w:jc w:val="right"/>
              <w:bidi w:val="1"/>
            </w:pPr>
            <w:r/>
            <w:r>
              <w:rPr>
                <w:rFonts w:ascii="Noto Naskh Arabic" w:hAnsi="Noto Naskh Arabic" w:cs="Noto Naskh Arabic"/>
                <w:b/>
                <w:color w:val="FFFFFF"/>
                <w:sz w:val="19"/>
              </w:rPr>
              <w:t>اسم الجمعية</w:t>
            </w:r>
          </w:p>
        </w:tc>
        <w:tc>
          <w:tcPr>
            <w:tcW w:type="dxa" w:w="2606"/>
            <w:vAlign w:val="center"/>
          </w:tcPr>
          <w:p>
            <w:pPr>
              <w:jc w:val="right"/>
              <w:bidi w:val="1"/>
            </w:pPr>
            <w:r/>
            <w:r>
              <w:rPr>
                <w:rFonts w:ascii="Noto Naskh Arabic" w:hAnsi="Noto Naskh Arabic" w:cs="Noto Naskh Arabic"/>
                <w:b w:val="0"/>
                <w:sz w:val="19"/>
              </w:rPr>
              <w:t>[اسم الجمعية]</w:t>
            </w:r>
          </w:p>
        </w:tc>
        <w:tc>
          <w:tcPr>
            <w:tcW w:type="dxa" w:w="2606"/>
            <w:vAlign w:val="center"/>
            <w:shd w:fill="155B4C"/>
          </w:tcPr>
          <w:p>
            <w:pPr>
              <w:jc w:val="right"/>
              <w:bidi w:val="1"/>
            </w:pPr>
            <w:r/>
            <w:r>
              <w:rPr>
                <w:rFonts w:ascii="Noto Naskh Arabic" w:hAnsi="Noto Naskh Arabic" w:cs="Noto Naskh Arabic"/>
                <w:b/>
                <w:color w:val="FFFFFF"/>
                <w:sz w:val="19"/>
              </w:rPr>
              <w:t>رمز الوثيقة</w:t>
            </w:r>
          </w:p>
        </w:tc>
        <w:tc>
          <w:tcPr>
            <w:tcW w:type="dxa" w:w="2606"/>
            <w:vAlign w:val="center"/>
          </w:tcPr>
          <w:p>
            <w:pPr>
              <w:jc w:val="right"/>
              <w:bidi w:val="1"/>
            </w:pPr>
            <w:r/>
            <w:r>
              <w:rPr>
                <w:rFonts w:ascii="Noto Naskh Arabic" w:hAnsi="Noto Naskh Arabic" w:cs="Noto Naskh Arabic"/>
                <w:b w:val="0"/>
                <w:sz w:val="19"/>
              </w:rPr>
              <w:t>[رمز]</w:t>
            </w:r>
          </w:p>
        </w:tc>
      </w:tr>
      <w:tr>
        <w:tc>
          <w:tcPr>
            <w:tcW w:type="dxa" w:w="2606"/>
            <w:vAlign w:val="center"/>
            <w:shd w:fill="155B4C"/>
          </w:tcPr>
          <w:p>
            <w:pPr>
              <w:jc w:val="right"/>
              <w:bidi w:val="1"/>
            </w:pPr>
            <w:r/>
            <w:r>
              <w:rPr>
                <w:rFonts w:ascii="Noto Naskh Arabic" w:hAnsi="Noto Naskh Arabic" w:cs="Noto Naskh Arabic"/>
                <w:b/>
                <w:color w:val="FFFFFF"/>
                <w:sz w:val="19"/>
              </w:rPr>
              <w:t>الإصدار</w:t>
            </w:r>
          </w:p>
        </w:tc>
        <w:tc>
          <w:tcPr>
            <w:tcW w:type="dxa" w:w="2606"/>
            <w:vAlign w:val="center"/>
          </w:tcPr>
          <w:p>
            <w:pPr>
              <w:jc w:val="right"/>
              <w:bidi w:val="1"/>
            </w:pPr>
            <w:r/>
            <w:r>
              <w:rPr>
                <w:rFonts w:ascii="Noto Naskh Arabic" w:hAnsi="Noto Naskh Arabic" w:cs="Noto Naskh Arabic"/>
                <w:b w:val="0"/>
                <w:sz w:val="19"/>
              </w:rPr>
              <w:t>1.0</w:t>
            </w:r>
          </w:p>
        </w:tc>
        <w:tc>
          <w:tcPr>
            <w:tcW w:type="dxa" w:w="2606"/>
            <w:vAlign w:val="center"/>
            <w:shd w:fill="155B4C"/>
          </w:tcPr>
          <w:p>
            <w:pPr>
              <w:jc w:val="right"/>
              <w:bidi w:val="1"/>
            </w:pPr>
            <w:r/>
            <w:r>
              <w:rPr>
                <w:rFonts w:ascii="Noto Naskh Arabic" w:hAnsi="Noto Naskh Arabic" w:cs="Noto Naskh Arabic"/>
                <w:b/>
                <w:color w:val="FFFFFF"/>
                <w:sz w:val="19"/>
              </w:rPr>
              <w:t>تاريخ الاعتماد</w:t>
            </w:r>
          </w:p>
        </w:tc>
        <w:tc>
          <w:tcPr>
            <w:tcW w:type="dxa" w:w="2606"/>
            <w:vAlign w:val="center"/>
          </w:tcPr>
          <w:p>
            <w:pPr>
              <w:jc w:val="right"/>
              <w:bidi w:val="1"/>
            </w:pPr>
            <w:r/>
            <w:r>
              <w:rPr>
                <w:rFonts w:ascii="Noto Naskh Arabic" w:hAnsi="Noto Naskh Arabic" w:cs="Noto Naskh Arabic"/>
                <w:b w:val="0"/>
                <w:sz w:val="19"/>
              </w:rPr>
              <w:t>[اليوم/الشهر/السنة]</w:t>
            </w:r>
          </w:p>
        </w:tc>
      </w:tr>
      <w:tr>
        <w:tc>
          <w:tcPr>
            <w:tcW w:type="dxa" w:w="2606"/>
            <w:vAlign w:val="center"/>
            <w:shd w:fill="155B4C"/>
          </w:tcPr>
          <w:p>
            <w:pPr>
              <w:jc w:val="right"/>
              <w:bidi w:val="1"/>
            </w:pPr>
            <w:r/>
            <w:r>
              <w:rPr>
                <w:rFonts w:ascii="Noto Naskh Arabic" w:hAnsi="Noto Naskh Arabic" w:cs="Noto Naskh Arabic"/>
                <w:b/>
                <w:color w:val="FFFFFF"/>
                <w:sz w:val="19"/>
              </w:rPr>
              <w:t>قرار الاعتماد</w:t>
            </w:r>
          </w:p>
        </w:tc>
        <w:tc>
          <w:tcPr>
            <w:tcW w:type="dxa" w:w="2606"/>
            <w:vAlign w:val="center"/>
          </w:tcPr>
          <w:p>
            <w:pPr>
              <w:jc w:val="right"/>
              <w:bidi w:val="1"/>
            </w:pPr>
            <w:r/>
            <w:r>
              <w:rPr>
                <w:rFonts w:ascii="Noto Naskh Arabic" w:hAnsi="Noto Naskh Arabic" w:cs="Noto Naskh Arabic"/>
                <w:b w:val="0"/>
                <w:sz w:val="19"/>
              </w:rPr>
              <w:t>[رقم القرار]</w:t>
            </w:r>
          </w:p>
        </w:tc>
        <w:tc>
          <w:tcPr>
            <w:tcW w:type="dxa" w:w="2606"/>
            <w:vAlign w:val="center"/>
            <w:shd w:fill="155B4C"/>
          </w:tcPr>
          <w:p>
            <w:pPr>
              <w:jc w:val="right"/>
              <w:bidi w:val="1"/>
            </w:pPr>
            <w:r/>
            <w:r>
              <w:rPr>
                <w:rFonts w:ascii="Noto Naskh Arabic" w:hAnsi="Noto Naskh Arabic" w:cs="Noto Naskh Arabic"/>
                <w:b/>
                <w:color w:val="FFFFFF"/>
                <w:sz w:val="19"/>
              </w:rPr>
              <w:t>مسؤول الوثيقة</w:t>
            </w:r>
          </w:p>
        </w:tc>
        <w:tc>
          <w:tcPr>
            <w:tcW w:type="dxa" w:w="2606"/>
            <w:vAlign w:val="center"/>
          </w:tcPr>
          <w:p>
            <w:pPr>
              <w:jc w:val="right"/>
              <w:bidi w:val="1"/>
            </w:pPr>
            <w:r/>
            <w:r>
              <w:rPr>
                <w:rFonts w:ascii="Noto Naskh Arabic" w:hAnsi="Noto Naskh Arabic" w:cs="Noto Naskh Arabic"/>
                <w:b w:val="0"/>
                <w:sz w:val="19"/>
              </w:rPr>
              <w:t>[المسمى الوظيفي]</w:t>
            </w:r>
          </w:p>
        </w:tc>
      </w:tr>
      <w:tr>
        <w:tc>
          <w:tcPr>
            <w:tcW w:type="dxa" w:w="2606"/>
            <w:vAlign w:val="center"/>
            <w:shd w:fill="155B4C"/>
          </w:tcPr>
          <w:p>
            <w:pPr>
              <w:jc w:val="right"/>
              <w:bidi w:val="1"/>
            </w:pPr>
            <w:r/>
            <w:r>
              <w:rPr>
                <w:rFonts w:ascii="Noto Naskh Arabic" w:hAnsi="Noto Naskh Arabic" w:cs="Noto Naskh Arabic"/>
                <w:b/>
                <w:color w:val="FFFFFF"/>
                <w:sz w:val="19"/>
              </w:rPr>
              <w:t>دورية المراجعة</w:t>
            </w:r>
          </w:p>
        </w:tc>
        <w:tc>
          <w:tcPr>
            <w:tcW w:type="dxa" w:w="2606"/>
            <w:vAlign w:val="center"/>
          </w:tcPr>
          <w:p>
            <w:pPr>
              <w:jc w:val="right"/>
              <w:bidi w:val="1"/>
            </w:pPr>
            <w:r/>
            <w:r>
              <w:rPr>
                <w:rFonts w:ascii="Noto Naskh Arabic" w:hAnsi="Noto Naskh Arabic" w:cs="Noto Naskh Arabic"/>
                <w:b w:val="0"/>
                <w:sz w:val="19"/>
              </w:rPr>
              <w:t>سنويًا أو عند الحاجة</w:t>
            </w:r>
          </w:p>
        </w:tc>
        <w:tc>
          <w:tcPr>
            <w:tcW w:type="dxa" w:w="2606"/>
            <w:vAlign w:val="center"/>
            <w:shd w:fill="155B4C"/>
          </w:tcPr>
          <w:p>
            <w:pPr>
              <w:jc w:val="right"/>
              <w:bidi w:val="1"/>
            </w:pPr>
            <w:r/>
            <w:r>
              <w:rPr>
                <w:rFonts w:ascii="Noto Naskh Arabic" w:hAnsi="Noto Naskh Arabic" w:cs="Noto Naskh Arabic"/>
                <w:b/>
                <w:color w:val="FFFFFF"/>
                <w:sz w:val="19"/>
              </w:rPr>
              <w:t>حالة الوثيقة</w:t>
            </w:r>
          </w:p>
        </w:tc>
        <w:tc>
          <w:tcPr>
            <w:tcW w:type="dxa" w:w="2606"/>
            <w:vAlign w:val="center"/>
          </w:tcPr>
          <w:p>
            <w:pPr>
              <w:jc w:val="right"/>
              <w:bidi w:val="1"/>
            </w:pPr>
            <w:r/>
            <w:r>
              <w:rPr>
                <w:rFonts w:ascii="Noto Naskh Arabic" w:hAnsi="Noto Naskh Arabic" w:cs="Noto Naskh Arabic"/>
                <w:b w:val="0"/>
                <w:sz w:val="19"/>
              </w:rPr>
              <w:t>مسودة للمراجعة</w:t>
            </w:r>
          </w:p>
        </w:tc>
      </w:tr>
    </w:tbl>
    <w:p>
      <w:pPr>
        <w:spacing w:before="160" w:after="160" w:line="276" w:lineRule="auto"/>
        <w:jc w:val="right"/>
        <w:bidi w:val="1"/>
      </w:pPr>
      <w:r>
        <w:rPr>
          <w:rFonts w:ascii="Noto Naskh Arabic" w:hAnsi="Noto Naskh Arabic" w:cs="Noto Naskh Arabic"/>
          <w:b/>
          <w:color w:val="914114"/>
          <w:sz w:val="20"/>
        </w:rPr>
        <w:t>تنبيه: يجب مواءمة هذا النموذج مع نشاط الجمعية ولائحتها الأساسية والأنظمة واللوائح السارية، ثم اعتماده رسميًا قبل نشره أو تطبيقه.</w:t>
      </w:r>
    </w:p>
    <w:p>
      <w:pPr>
        <w:spacing w:before="160" w:after="100" w:line="276" w:lineRule="auto"/>
        <w:jc w:val="right"/>
        <w:bidi w:val="1"/>
      </w:pPr>
      <w:r>
        <w:rPr>
          <w:rFonts w:ascii="Noto Naskh Arabic" w:hAnsi="Noto Naskh Arabic" w:cs="Noto Naskh Arabic"/>
          <w:b/>
          <w:color w:val="155B4C"/>
          <w:sz w:val="32"/>
        </w:rPr>
        <w:t>بيانات الوثيقة</w:t>
      </w:r>
    </w:p>
    <w:p>
      <w:pPr>
        <w:pStyle w:val="ListBullet"/>
        <w:spacing w:after="60" w:line="269" w:lineRule="auto"/>
        <w:ind w:left="283" w:right="340"/>
        <w:jc w:val="right"/>
        <w:bidi w:val="1"/>
      </w:pPr>
      <w:r>
        <w:rPr>
          <w:rFonts w:ascii="Noto Naskh Arabic" w:hAnsi="Noto Naskh Arabic" w:cs="Noto Naskh Arabic"/>
          <w:b w:val="0"/>
          <w:sz w:val="21"/>
        </w:rPr>
        <w:t>التصنيف: اللوائح والنموذج الشامل.</w:t>
      </w:r>
    </w:p>
    <w:p>
      <w:pPr>
        <w:pStyle w:val="ListBullet"/>
        <w:spacing w:after="60" w:line="269" w:lineRule="auto"/>
        <w:ind w:left="283" w:right="340"/>
        <w:jc w:val="right"/>
        <w:bidi w:val="1"/>
      </w:pPr>
      <w:r>
        <w:rPr>
          <w:rFonts w:ascii="Noto Naskh Arabic" w:hAnsi="Noto Naskh Arabic" w:cs="Noto Naskh Arabic"/>
          <w:b w:val="0"/>
          <w:sz w:val="21"/>
        </w:rPr>
        <w:t>نطاق التطبيق: مجلس الإدارة، والإدارة التنفيذية، والموظفون، والمتطوعون، والمتعاقدون بحسب طبيعة الوثيقة.</w:t>
      </w:r>
    </w:p>
    <w:p>
      <w:pPr>
        <w:pStyle w:val="ListBullet"/>
        <w:spacing w:after="60" w:line="269" w:lineRule="auto"/>
        <w:ind w:left="283" w:right="340"/>
        <w:jc w:val="right"/>
        <w:bidi w:val="1"/>
      </w:pPr>
      <w:r>
        <w:rPr>
          <w:rFonts w:ascii="Noto Naskh Arabic" w:hAnsi="Noto Naskh Arabic" w:cs="Noto Naskh Arabic"/>
          <w:b w:val="0"/>
          <w:sz w:val="21"/>
        </w:rPr>
        <w:t>سجل التعديل: توثق كل مراجعة برقم إصدار وتاريخ وملخص للتغيير وقرار الاعتماد.</w:t>
      </w:r>
    </w:p>
    <w:p>
      <w:pPr>
        <w:spacing w:before="160" w:after="100" w:line="276" w:lineRule="auto"/>
        <w:jc w:val="right"/>
        <w:bidi w:val="1"/>
      </w:pPr>
      <w:r>
        <w:rPr>
          <w:rFonts w:ascii="Noto Naskh Arabic" w:hAnsi="Noto Naskh Arabic" w:cs="Noto Naskh Arabic"/>
          <w:b/>
          <w:color w:val="155B4C"/>
          <w:sz w:val="26"/>
        </w:rPr>
        <w:t>الهدف</w:t>
      </w:r>
    </w:p>
    <w:p>
      <w:pPr>
        <w:pStyle w:val="ListBullet"/>
        <w:spacing w:after="60" w:line="269" w:lineRule="auto"/>
        <w:ind w:left="283" w:right="340"/>
        <w:jc w:val="right"/>
        <w:bidi w:val="1"/>
      </w:pPr>
      <w:r>
        <w:rPr>
          <w:rFonts w:ascii="Noto Naskh Arabic" w:hAnsi="Noto Naskh Arabic" w:cs="Noto Naskh Arabic"/>
          <w:b w:val="0"/>
          <w:sz w:val="21"/>
        </w:rPr>
        <w:t>تنظيم إدارة الموارد المالية، وضبط الدورة المستندية، وتعزيز سلامة الصرف والتحصيل وإعداد التقارير.</w:t>
      </w:r>
    </w:p>
    <w:p>
      <w:pPr>
        <w:pStyle w:val="ListBullet"/>
        <w:spacing w:after="60" w:line="269" w:lineRule="auto"/>
        <w:ind w:left="283" w:right="340"/>
        <w:jc w:val="right"/>
        <w:bidi w:val="1"/>
      </w:pPr>
      <w:r>
        <w:rPr>
          <w:rFonts w:ascii="Noto Naskh Arabic" w:hAnsi="Noto Naskh Arabic" w:cs="Noto Naskh Arabic"/>
          <w:b w:val="0"/>
          <w:sz w:val="21"/>
        </w:rPr>
        <w:t>تحديد المسؤوليات والصلاحيات المالية بما يحقق الفصل بين الاعتماد والتنفيذ والمراجعة.</w:t>
      </w:r>
    </w:p>
    <w:p>
      <w:pPr>
        <w:spacing w:before="160" w:after="100" w:line="276" w:lineRule="auto"/>
        <w:jc w:val="right"/>
        <w:bidi w:val="1"/>
      </w:pPr>
      <w:r>
        <w:rPr>
          <w:rFonts w:ascii="Noto Naskh Arabic" w:hAnsi="Noto Naskh Arabic" w:cs="Noto Naskh Arabic"/>
          <w:b/>
          <w:color w:val="155B4C"/>
          <w:sz w:val="26"/>
        </w:rPr>
        <w:t>المبادئ المالية</w:t>
      </w:r>
    </w:p>
    <w:p>
      <w:pPr>
        <w:pStyle w:val="ListBullet"/>
        <w:spacing w:after="60" w:line="269" w:lineRule="auto"/>
        <w:ind w:left="283" w:right="340"/>
        <w:jc w:val="right"/>
        <w:bidi w:val="1"/>
      </w:pPr>
      <w:r>
        <w:rPr>
          <w:rFonts w:ascii="Noto Naskh Arabic" w:hAnsi="Noto Naskh Arabic" w:cs="Noto Naskh Arabic"/>
          <w:b w:val="0"/>
          <w:sz w:val="21"/>
        </w:rPr>
        <w:t>الالتزام بالأنظمة واللوائح والمعايير المحاسبية المعتمدة للمنظمات غير الربحية.</w:t>
      </w:r>
    </w:p>
    <w:p>
      <w:pPr>
        <w:pStyle w:val="ListBullet"/>
        <w:spacing w:after="60" w:line="269" w:lineRule="auto"/>
        <w:ind w:left="283" w:right="340"/>
        <w:jc w:val="right"/>
        <w:bidi w:val="1"/>
      </w:pPr>
      <w:r>
        <w:rPr>
          <w:rFonts w:ascii="Noto Naskh Arabic" w:hAnsi="Noto Naskh Arabic" w:cs="Noto Naskh Arabic"/>
          <w:b w:val="0"/>
          <w:sz w:val="21"/>
        </w:rPr>
        <w:t>إثبات جميع العمليات بمستندات مؤيدة وقابلة للتتبع.</w:t>
      </w:r>
    </w:p>
    <w:p>
      <w:pPr>
        <w:pStyle w:val="ListBullet"/>
        <w:spacing w:after="60" w:line="269" w:lineRule="auto"/>
        <w:ind w:left="283" w:right="340"/>
        <w:jc w:val="right"/>
        <w:bidi w:val="1"/>
      </w:pPr>
      <w:r>
        <w:rPr>
          <w:rFonts w:ascii="Noto Naskh Arabic" w:hAnsi="Noto Naskh Arabic" w:cs="Noto Naskh Arabic"/>
          <w:b w:val="0"/>
          <w:sz w:val="21"/>
        </w:rPr>
        <w:t>عدم الصرف إلا في حدود الموازنة والاعتمادات والصلاحيات.</w:t>
      </w:r>
    </w:p>
    <w:p>
      <w:pPr>
        <w:pStyle w:val="ListBullet"/>
        <w:spacing w:after="60" w:line="269" w:lineRule="auto"/>
        <w:ind w:left="283" w:right="340"/>
        <w:jc w:val="right"/>
        <w:bidi w:val="1"/>
      </w:pPr>
      <w:r>
        <w:rPr>
          <w:rFonts w:ascii="Noto Naskh Arabic" w:hAnsi="Noto Naskh Arabic" w:cs="Noto Naskh Arabic"/>
          <w:b w:val="0"/>
          <w:sz w:val="21"/>
        </w:rPr>
        <w:t>حماية أموال الجمعية وأصولها من الاستخدام غير المصرح به.</w:t>
      </w:r>
    </w:p>
    <w:p>
      <w:pPr>
        <w:spacing w:before="160" w:after="100" w:line="276" w:lineRule="auto"/>
        <w:jc w:val="right"/>
        <w:bidi w:val="1"/>
      </w:pPr>
      <w:r>
        <w:rPr>
          <w:rFonts w:ascii="Noto Naskh Arabic" w:hAnsi="Noto Naskh Arabic" w:cs="Noto Naskh Arabic"/>
          <w:b/>
          <w:color w:val="155B4C"/>
          <w:sz w:val="26"/>
        </w:rPr>
        <w:t>إعداد الموازنة</w:t>
      </w:r>
    </w:p>
    <w:p>
      <w:pPr>
        <w:pStyle w:val="ListBullet"/>
        <w:spacing w:after="60" w:line="269" w:lineRule="auto"/>
        <w:ind w:left="283" w:right="340"/>
        <w:jc w:val="right"/>
        <w:bidi w:val="1"/>
      </w:pPr>
      <w:r>
        <w:rPr>
          <w:rFonts w:ascii="Noto Naskh Arabic" w:hAnsi="Noto Naskh Arabic" w:cs="Noto Naskh Arabic"/>
          <w:b w:val="0"/>
          <w:sz w:val="21"/>
        </w:rPr>
        <w:t>تعد الإدارة التنفيذية مشروع الموازنة السنوية بناءً على الخطة التشغيلية ومصادر التمويل المتوقعة.</w:t>
      </w:r>
    </w:p>
    <w:p>
      <w:pPr>
        <w:pStyle w:val="ListBullet"/>
        <w:spacing w:after="60" w:line="269" w:lineRule="auto"/>
        <w:ind w:left="283" w:right="340"/>
        <w:jc w:val="right"/>
        <w:bidi w:val="1"/>
      </w:pPr>
      <w:r>
        <w:rPr>
          <w:rFonts w:ascii="Noto Naskh Arabic" w:hAnsi="Noto Naskh Arabic" w:cs="Noto Naskh Arabic"/>
          <w:b w:val="0"/>
          <w:sz w:val="21"/>
        </w:rPr>
        <w:t>تعرض الموازنة على اللجنة أو المسؤول المالي للمراجعة ثم على مجلس الإدارة للاعتماد.</w:t>
      </w:r>
    </w:p>
    <w:p>
      <w:pPr>
        <w:pStyle w:val="ListBullet"/>
        <w:spacing w:after="60" w:line="269" w:lineRule="auto"/>
        <w:ind w:left="283" w:right="340"/>
        <w:jc w:val="right"/>
        <w:bidi w:val="1"/>
      </w:pPr>
      <w:r>
        <w:rPr>
          <w:rFonts w:ascii="Noto Naskh Arabic" w:hAnsi="Noto Naskh Arabic" w:cs="Noto Naskh Arabic"/>
          <w:b w:val="0"/>
          <w:sz w:val="21"/>
        </w:rPr>
        <w:t>تراقب الانحرافات شهريًا وتوثق أسبابها والإجراءات التصحيحية.</w:t>
      </w:r>
    </w:p>
    <w:p>
      <w:pPr>
        <w:spacing w:before="160" w:after="100" w:line="276" w:lineRule="auto"/>
        <w:jc w:val="right"/>
        <w:bidi w:val="1"/>
      </w:pPr>
      <w:r>
        <w:rPr>
          <w:rFonts w:ascii="Noto Naskh Arabic" w:hAnsi="Noto Naskh Arabic" w:cs="Noto Naskh Arabic"/>
          <w:b/>
          <w:color w:val="155B4C"/>
          <w:sz w:val="26"/>
        </w:rPr>
        <w:t>الإيرادات والتحصيل</w:t>
      </w:r>
    </w:p>
    <w:p>
      <w:pPr>
        <w:pStyle w:val="ListBullet"/>
        <w:spacing w:after="60" w:line="269" w:lineRule="auto"/>
        <w:ind w:left="283" w:right="340"/>
        <w:jc w:val="right"/>
        <w:bidi w:val="1"/>
      </w:pPr>
      <w:r>
        <w:rPr>
          <w:rFonts w:ascii="Noto Naskh Arabic" w:hAnsi="Noto Naskh Arabic" w:cs="Noto Naskh Arabic"/>
          <w:b w:val="0"/>
          <w:sz w:val="21"/>
        </w:rPr>
        <w:t>تودع المتحصلات في الحسابات البنكية المعتمدة دون تأخير.</w:t>
      </w:r>
    </w:p>
    <w:p>
      <w:pPr>
        <w:pStyle w:val="ListBullet"/>
        <w:spacing w:after="60" w:line="269" w:lineRule="auto"/>
        <w:ind w:left="283" w:right="340"/>
        <w:jc w:val="right"/>
        <w:bidi w:val="1"/>
      </w:pPr>
      <w:r>
        <w:rPr>
          <w:rFonts w:ascii="Noto Naskh Arabic" w:hAnsi="Noto Naskh Arabic" w:cs="Noto Naskh Arabic"/>
          <w:b w:val="0"/>
          <w:sz w:val="21"/>
        </w:rPr>
        <w:t>تصدر إيصالات أو إثباتات نظامية لكل عملية تحصيل.</w:t>
      </w:r>
    </w:p>
    <w:p>
      <w:pPr>
        <w:pStyle w:val="ListBullet"/>
        <w:spacing w:after="60" w:line="269" w:lineRule="auto"/>
        <w:ind w:left="283" w:right="340"/>
        <w:jc w:val="right"/>
        <w:bidi w:val="1"/>
      </w:pPr>
      <w:r>
        <w:rPr>
          <w:rFonts w:ascii="Noto Naskh Arabic" w:hAnsi="Noto Naskh Arabic" w:cs="Noto Naskh Arabic"/>
          <w:b w:val="0"/>
          <w:sz w:val="21"/>
        </w:rPr>
        <w:t>تجرى المطابقات البنكية بصورة دورية بواسطة موظف مستقل عن التحصيل قدر الإمكان.</w:t>
      </w:r>
    </w:p>
    <w:p>
      <w:pPr>
        <w:spacing w:before="160" w:after="100" w:line="276" w:lineRule="auto"/>
        <w:jc w:val="right"/>
        <w:bidi w:val="1"/>
      </w:pPr>
      <w:r>
        <w:rPr>
          <w:rFonts w:ascii="Noto Naskh Arabic" w:hAnsi="Noto Naskh Arabic" w:cs="Noto Naskh Arabic"/>
          <w:b/>
          <w:color w:val="155B4C"/>
          <w:sz w:val="26"/>
        </w:rPr>
        <w:t>المصروفات</w:t>
      </w:r>
    </w:p>
    <w:p>
      <w:pPr>
        <w:pStyle w:val="ListBullet"/>
        <w:spacing w:after="60" w:line="269" w:lineRule="auto"/>
        <w:ind w:left="283" w:right="340"/>
        <w:jc w:val="right"/>
        <w:bidi w:val="1"/>
      </w:pPr>
      <w:r>
        <w:rPr>
          <w:rFonts w:ascii="Noto Naskh Arabic" w:hAnsi="Noto Naskh Arabic" w:cs="Noto Naskh Arabic"/>
          <w:b w:val="0"/>
          <w:sz w:val="21"/>
        </w:rPr>
        <w:t>يشترط طلب صرف معتمد ومستند مؤيد وتحقق من الاستلام أو الإنجاز.</w:t>
      </w:r>
    </w:p>
    <w:p>
      <w:pPr>
        <w:pStyle w:val="ListBullet"/>
        <w:spacing w:after="60" w:line="269" w:lineRule="auto"/>
        <w:ind w:left="283" w:right="340"/>
        <w:jc w:val="right"/>
        <w:bidi w:val="1"/>
      </w:pPr>
      <w:r>
        <w:rPr>
          <w:rFonts w:ascii="Noto Naskh Arabic" w:hAnsi="Noto Naskh Arabic" w:cs="Noto Naskh Arabic"/>
          <w:b w:val="0"/>
          <w:sz w:val="21"/>
        </w:rPr>
        <w:t>تطبق حدود الصلاحيات ومبدأ المنافسة في المشتريات وفق قيم العمليات.</w:t>
      </w:r>
    </w:p>
    <w:p>
      <w:pPr>
        <w:pStyle w:val="ListBullet"/>
        <w:spacing w:after="60" w:line="269" w:lineRule="auto"/>
        <w:ind w:left="283" w:right="340"/>
        <w:jc w:val="right"/>
        <w:bidi w:val="1"/>
      </w:pPr>
      <w:r>
        <w:rPr>
          <w:rFonts w:ascii="Noto Naskh Arabic" w:hAnsi="Noto Naskh Arabic" w:cs="Noto Naskh Arabic"/>
          <w:b w:val="0"/>
          <w:sz w:val="21"/>
        </w:rPr>
        <w:t>تمنع تجزئة المشتريات أو المصروفات بقصد تجاوز الصلاحية.</w:t>
      </w:r>
    </w:p>
    <w:p>
      <w:pPr>
        <w:spacing w:before="160" w:after="100" w:line="276" w:lineRule="auto"/>
        <w:jc w:val="right"/>
        <w:bidi w:val="1"/>
      </w:pPr>
      <w:r>
        <w:rPr>
          <w:rFonts w:ascii="Noto Naskh Arabic" w:hAnsi="Noto Naskh Arabic" w:cs="Noto Naskh Arabic"/>
          <w:b/>
          <w:color w:val="155B4C"/>
          <w:sz w:val="26"/>
        </w:rPr>
        <w:t>العهد والأصول</w:t>
      </w:r>
    </w:p>
    <w:p>
      <w:pPr>
        <w:pStyle w:val="ListBullet"/>
        <w:spacing w:after="60" w:line="269" w:lineRule="auto"/>
        <w:ind w:left="283" w:right="340"/>
        <w:jc w:val="right"/>
        <w:bidi w:val="1"/>
      </w:pPr>
      <w:r>
        <w:rPr>
          <w:rFonts w:ascii="Noto Naskh Arabic" w:hAnsi="Noto Naskh Arabic" w:cs="Noto Naskh Arabic"/>
          <w:b w:val="0"/>
          <w:sz w:val="21"/>
        </w:rPr>
        <w:t>تسجل العهد والأصول في سجلات محدثة ويحدد مستلمها وموقعها وحالتها.</w:t>
      </w:r>
    </w:p>
    <w:p>
      <w:pPr>
        <w:pStyle w:val="ListBullet"/>
        <w:spacing w:after="60" w:line="269" w:lineRule="auto"/>
        <w:ind w:left="283" w:right="340"/>
        <w:jc w:val="right"/>
        <w:bidi w:val="1"/>
      </w:pPr>
      <w:r>
        <w:rPr>
          <w:rFonts w:ascii="Noto Naskh Arabic" w:hAnsi="Noto Naskh Arabic" w:cs="Noto Naskh Arabic"/>
          <w:b w:val="0"/>
          <w:sz w:val="21"/>
        </w:rPr>
        <w:t>ينفذ جرد دوري وتسوى الفروقات بقرارات موثقة.</w:t>
      </w:r>
    </w:p>
    <w:p>
      <w:pPr>
        <w:pStyle w:val="ListBullet"/>
        <w:spacing w:after="60" w:line="269" w:lineRule="auto"/>
        <w:ind w:left="283" w:right="340"/>
        <w:jc w:val="right"/>
        <w:bidi w:val="1"/>
      </w:pPr>
      <w:r>
        <w:rPr>
          <w:rFonts w:ascii="Noto Naskh Arabic" w:hAnsi="Noto Naskh Arabic" w:cs="Noto Naskh Arabic"/>
          <w:b w:val="0"/>
          <w:sz w:val="21"/>
        </w:rPr>
        <w:t>لا يتم الاستبعاد أو البيع أو الإتلاف إلا وفق صلاحية وإجراء معتمد.</w:t>
      </w:r>
    </w:p>
    <w:p>
      <w:pPr>
        <w:spacing w:before="160" w:after="100" w:line="276" w:lineRule="auto"/>
        <w:jc w:val="right"/>
        <w:bidi w:val="1"/>
      </w:pPr>
      <w:r>
        <w:rPr>
          <w:rFonts w:ascii="Noto Naskh Arabic" w:hAnsi="Noto Naskh Arabic" w:cs="Noto Naskh Arabic"/>
          <w:b/>
          <w:color w:val="155B4C"/>
          <w:sz w:val="26"/>
        </w:rPr>
        <w:t>التقارير والرقابة</w:t>
      </w:r>
    </w:p>
    <w:p>
      <w:pPr>
        <w:pStyle w:val="ListBullet"/>
        <w:spacing w:after="60" w:line="269" w:lineRule="auto"/>
        <w:ind w:left="283" w:right="340"/>
        <w:jc w:val="right"/>
        <w:bidi w:val="1"/>
      </w:pPr>
      <w:r>
        <w:rPr>
          <w:rFonts w:ascii="Noto Naskh Arabic" w:hAnsi="Noto Naskh Arabic" w:cs="Noto Naskh Arabic"/>
          <w:b w:val="0"/>
          <w:sz w:val="21"/>
        </w:rPr>
        <w:t>تعد تقارير مالية دورية تشمل المركز المالي، ونتائج الأنشطة، والتدفقات النقدية، ومقارنة الموازنة.</w:t>
      </w:r>
    </w:p>
    <w:p>
      <w:pPr>
        <w:pStyle w:val="ListBullet"/>
        <w:spacing w:after="60" w:line="269" w:lineRule="auto"/>
        <w:ind w:left="283" w:right="340"/>
        <w:jc w:val="right"/>
        <w:bidi w:val="1"/>
      </w:pPr>
      <w:r>
        <w:rPr>
          <w:rFonts w:ascii="Noto Naskh Arabic" w:hAnsi="Noto Naskh Arabic" w:cs="Noto Naskh Arabic"/>
          <w:b w:val="0"/>
          <w:sz w:val="21"/>
        </w:rPr>
        <w:t>ترفع الملاحظات الجوهرية لمجلس الإدارة ويتابع تنفيذ التوصيات.</w:t>
      </w:r>
    </w:p>
    <w:p>
      <w:pPr>
        <w:spacing w:before="160" w:after="100" w:line="276" w:lineRule="auto"/>
        <w:jc w:val="right"/>
        <w:bidi w:val="1"/>
      </w:pPr>
      <w:r>
        <w:rPr>
          <w:rFonts w:ascii="Noto Naskh Arabic" w:hAnsi="Noto Naskh Arabic" w:cs="Noto Naskh Arabic"/>
          <w:b/>
          <w:color w:val="155B4C"/>
          <w:sz w:val="26"/>
        </w:rPr>
        <w:t>المراجعة والاعتماد</w:t>
      </w:r>
    </w:p>
    <w:p>
      <w:pPr>
        <w:pStyle w:val="ListBullet"/>
        <w:spacing w:after="60" w:line="269" w:lineRule="auto"/>
        <w:ind w:left="283" w:right="340"/>
        <w:jc w:val="right"/>
        <w:bidi w:val="1"/>
      </w:pPr>
      <w:r>
        <w:rPr>
          <w:rFonts w:ascii="Noto Naskh Arabic" w:hAnsi="Noto Naskh Arabic" w:cs="Noto Naskh Arabic"/>
          <w:b w:val="0"/>
          <w:sz w:val="21"/>
        </w:rPr>
        <w:t>تراجع الوثيقة دوريًا وعند صدور تحديث نظامي أو حدوث تغيير جوهري في أعمال الجمعية.</w:t>
      </w:r>
    </w:p>
    <w:p>
      <w:pPr>
        <w:pStyle w:val="ListBullet"/>
        <w:spacing w:after="60" w:line="269" w:lineRule="auto"/>
        <w:ind w:left="283" w:right="340"/>
        <w:jc w:val="right"/>
        <w:bidi w:val="1"/>
      </w:pPr>
      <w:r>
        <w:rPr>
          <w:rFonts w:ascii="Noto Naskh Arabic" w:hAnsi="Noto Naskh Arabic" w:cs="Noto Naskh Arabic"/>
          <w:b w:val="0"/>
          <w:sz w:val="21"/>
        </w:rPr>
        <w:t>لا تصبح الوثيقة نافذة إلا بعد اعتمادها وفق الصلاحيات المعتمدة في الجمعية.</w:t>
      </w:r>
    </w:p>
    <w:p>
      <w:pPr>
        <w:pStyle w:val="ListBullet"/>
        <w:spacing w:after="60" w:line="269" w:lineRule="auto"/>
        <w:ind w:left="283" w:right="340"/>
        <w:jc w:val="right"/>
        <w:bidi w:val="1"/>
      </w:pPr>
      <w:r>
        <w:rPr>
          <w:rFonts w:ascii="Noto Naskh Arabic" w:hAnsi="Noto Naskh Arabic" w:cs="Noto Naskh Arabic"/>
          <w:b w:val="0"/>
          <w:sz w:val="21"/>
        </w:rPr>
        <w:t>تحفظ النسخة المعتمدة وسجل التعديلات في مستودع الوثائق الرسمي، وتنشر النسخة المخصصة للإفصاح عند الحاجة.</w:t>
      </w:r>
    </w:p>
    <w:tbl>
      <w:tblPr>
        <w:tblStyle w:val="TableGrid"/>
        <w:tblW w:type="auto" w:w="0"/>
        <w:jc w:val="center"/>
        <w:tblLook w:firstColumn="1" w:firstRow="1" w:lastColumn="0" w:lastRow="0" w:noHBand="0" w:noVBand="1" w:val="04A0"/>
      </w:tblPr>
      <w:tblGrid>
        <w:gridCol w:w="3475"/>
        <w:gridCol w:w="3475"/>
        <w:gridCol w:w="3475"/>
      </w:tblGrid>
      <w:tr>
        <w:tc>
          <w:tcPr>
            <w:tcW w:type="dxa" w:w="3475"/>
            <w:shd w:fill="155B4C"/>
          </w:tcPr>
          <w:p>
            <w:pPr>
              <w:jc w:val="center"/>
              <w:bidi w:val="1"/>
            </w:pPr>
            <w:r/>
            <w:r>
              <w:rPr>
                <w:rFonts w:ascii="Noto Naskh Arabic" w:hAnsi="Noto Naskh Arabic" w:cs="Noto Naskh Arabic"/>
                <w:b/>
                <w:color w:val="FFFFFF"/>
                <w:sz w:val="19"/>
              </w:rPr>
              <w:t>الإعداد</w:t>
            </w:r>
          </w:p>
        </w:tc>
        <w:tc>
          <w:tcPr>
            <w:tcW w:type="dxa" w:w="3475"/>
            <w:shd w:fill="155B4C"/>
          </w:tcPr>
          <w:p>
            <w:pPr>
              <w:jc w:val="center"/>
              <w:bidi w:val="1"/>
            </w:pPr>
            <w:r/>
            <w:r>
              <w:rPr>
                <w:rFonts w:ascii="Noto Naskh Arabic" w:hAnsi="Noto Naskh Arabic" w:cs="Noto Naskh Arabic"/>
                <w:b/>
                <w:color w:val="FFFFFF"/>
                <w:sz w:val="19"/>
              </w:rPr>
              <w:t>المراجعة</w:t>
            </w:r>
          </w:p>
        </w:tc>
        <w:tc>
          <w:tcPr>
            <w:tcW w:type="dxa" w:w="3475"/>
            <w:shd w:fill="155B4C"/>
          </w:tcPr>
          <w:p>
            <w:pPr>
              <w:jc w:val="center"/>
              <w:bidi w:val="1"/>
            </w:pPr>
            <w:r/>
            <w:r>
              <w:rPr>
                <w:rFonts w:ascii="Noto Naskh Arabic" w:hAnsi="Noto Naskh Arabic" w:cs="Noto Naskh Arabic"/>
                <w:b/>
                <w:color w:val="FFFFFF"/>
                <w:sz w:val="19"/>
              </w:rPr>
              <w:t>الاعتماد</w:t>
            </w:r>
          </w:p>
        </w:tc>
      </w:tr>
      <w:tr>
        <w:tc>
          <w:tcPr>
            <w:tcW w:type="dxa" w:w="3475"/>
          </w:tcPr>
          <w:p>
            <w:pPr>
              <w:jc w:val="center"/>
              <w:bidi w:val="1"/>
            </w:pPr>
            <w:r/>
            <w:r>
              <w:rPr>
                <w:rFonts w:ascii="Noto Naskh Arabic" w:hAnsi="Noto Naskh Arabic" w:cs="Noto Naskh Arabic"/>
                <w:b w:val="0"/>
                <w:sz w:val="19"/>
              </w:rPr>
              <w:t>[الاسم والمسمى]</w:t>
            </w:r>
          </w:p>
        </w:tc>
        <w:tc>
          <w:tcPr>
            <w:tcW w:type="dxa" w:w="3475"/>
          </w:tcPr>
          <w:p>
            <w:pPr>
              <w:jc w:val="center"/>
              <w:bidi w:val="1"/>
            </w:pPr>
            <w:r/>
            <w:r>
              <w:rPr>
                <w:rFonts w:ascii="Noto Naskh Arabic" w:hAnsi="Noto Naskh Arabic" w:cs="Noto Naskh Arabic"/>
                <w:b w:val="0"/>
                <w:sz w:val="19"/>
              </w:rPr>
              <w:t>[الاسم والمسمى]</w:t>
            </w:r>
          </w:p>
        </w:tc>
        <w:tc>
          <w:tcPr>
            <w:tcW w:type="dxa" w:w="3475"/>
          </w:tcPr>
          <w:p>
            <w:pPr>
              <w:jc w:val="center"/>
              <w:bidi w:val="1"/>
            </w:pPr>
            <w:r/>
            <w:r>
              <w:rPr>
                <w:rFonts w:ascii="Noto Naskh Arabic" w:hAnsi="Noto Naskh Arabic" w:cs="Noto Naskh Arabic"/>
                <w:b w:val="0"/>
                <w:sz w:val="19"/>
              </w:rPr>
              <w:t>[مجلس الإدارة/صاحب الصلاحية]</w:t>
            </w:r>
          </w:p>
        </w:tc>
      </w:tr>
      <w:tr>
        <w:tc>
          <w:tcPr>
            <w:tcW w:type="dxa" w:w="3475"/>
          </w:tcPr>
          <w:p>
            <w:pPr>
              <w:jc w:val="center"/>
              <w:bidi w:val="1"/>
            </w:pPr>
            <w:r/>
            <w:r>
              <w:rPr>
                <w:rFonts w:ascii="Noto Naskh Arabic" w:hAnsi="Noto Naskh Arabic" w:cs="Noto Naskh Arabic"/>
                <w:b w:val="0"/>
                <w:sz w:val="19"/>
              </w:rPr>
              <w:t>[التوقيع والتاريخ]</w:t>
            </w:r>
          </w:p>
        </w:tc>
        <w:tc>
          <w:tcPr>
            <w:tcW w:type="dxa" w:w="3475"/>
          </w:tcPr>
          <w:p>
            <w:pPr>
              <w:jc w:val="center"/>
              <w:bidi w:val="1"/>
            </w:pPr>
            <w:r/>
            <w:r>
              <w:rPr>
                <w:rFonts w:ascii="Noto Naskh Arabic" w:hAnsi="Noto Naskh Arabic" w:cs="Noto Naskh Arabic"/>
                <w:b w:val="0"/>
                <w:sz w:val="19"/>
              </w:rPr>
              <w:t>[التوقيع والتاريخ]</w:t>
            </w:r>
          </w:p>
        </w:tc>
        <w:tc>
          <w:tcPr>
            <w:tcW w:type="dxa" w:w="3475"/>
          </w:tcPr>
          <w:p>
            <w:pPr>
              <w:jc w:val="center"/>
              <w:bidi w:val="1"/>
            </w:pPr>
            <w:r/>
            <w:r>
              <w:rPr>
                <w:rFonts w:ascii="Noto Naskh Arabic" w:hAnsi="Noto Naskh Arabic" w:cs="Noto Naskh Arabic"/>
                <w:b w:val="0"/>
                <w:sz w:val="19"/>
              </w:rPr>
              <w:t>[رقم القرار والتاريخ]</w:t>
            </w:r>
          </w:p>
        </w:tc>
      </w:tr>
    </w:tbl>
    <w:p>
      <w:pPr>
        <w:spacing w:before="200" w:after="40" w:line="276" w:lineRule="auto"/>
        <w:jc w:val="right"/>
        <w:bidi w:val="1"/>
      </w:pPr>
      <w:r>
        <w:rPr>
          <w:rFonts w:ascii="Noto Naskh Arabic" w:hAnsi="Noto Naskh Arabic" w:cs="Noto Naskh Arabic"/>
          <w:b w:val="0"/>
          <w:color w:val="646464"/>
          <w:sz w:val="17"/>
        </w:rPr>
        <w:t>مصادر الاسترشاد: قواعد وأدلة المركز الوطني لتنمية القطاع غير الربحي، والموضوعات والبنى المتكررة في وثائق الحوكمة المنشورة علنًا في مواقع جمعيات أهلية سعودية. أُعيدت صياغة المحتوى كنموذج عام ولم يُنسخ كوثيقة خاصة بأي جمعية.</w:t>
      </w:r>
    </w:p>
    <w:sectPr w:rsidR="00FC693F" w:rsidRPr="0006063C" w:rsidSect="00034616">
      <w:headerReference w:type="default" r:id="rId9"/>
      <w:footerReference w:type="default" r:id="rId10"/>
      <w:pgSz w:w="12240" w:h="15840"/>
      <w:pgMar w:top="907" w:right="907" w:bottom="850" w:left="90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bidi w:val="1"/>
    </w:pPr>
    <w:r>
      <w:rPr>
        <w:rFonts w:ascii="Noto Naskh Arabic" w:hAnsi="Noto Naskh Arabic" w:cs="Noto Naskh Arabic"/>
        <w:b w:val="0"/>
        <w:color w:val="646464"/>
        <w:sz w:val="16"/>
      </w:rPr>
      <w:t>نموذج استرشادي قابل للتعديل - لا يعد معتمدًا إلا بعد مراجعته واعتماده من الجهة المختصة في الجمعية</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bidi w:val="1"/>
    </w:pPr>
    <w:r>
      <w:rPr>
        <w:rFonts w:ascii="Noto Kufi Arabic" w:hAnsi="Noto Kufi Arabic" w:cs="Noto Kufi Arabic"/>
        <w:b/>
        <w:color w:val="46625B"/>
        <w:sz w:val="18"/>
      </w:rPr>
      <w:t>[شعار الجمعية]   |   [اسم الجمعية]</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Noto Naskh Arabic" w:hAnsi="Noto Naskh Arabic" w:cs="Noto Naskh Arabic"/>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Noto Naskh Arabic" w:hAnsi="Noto Naskh Arabic" w:cs="Noto Naskh Arabic"/>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rPr>
      <w:rFonts w:ascii="Noto Naskh Arabic" w:hAnsi="Noto Naskh Arabic" w:cs="Noto Naskh Arabic"/>
      <w:sz w:val="22"/>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