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نموذج الخطة التشغيلية السنوية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الخطة الاستراتيجية والتشغيلية.</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طريقة الاستخدام</w:t>
      </w:r>
    </w:p>
    <w:p>
      <w:pPr>
        <w:pStyle w:val="ListBullet"/>
        <w:spacing w:after="60" w:line="269" w:lineRule="auto"/>
        <w:ind w:left="283" w:right="340"/>
        <w:jc w:val="right"/>
        <w:bidi w:val="1"/>
      </w:pPr>
      <w:r>
        <w:rPr>
          <w:rFonts w:ascii="Noto Naskh Arabic" w:hAnsi="Noto Naskh Arabic" w:cs="Noto Naskh Arabic"/>
          <w:b w:val="0"/>
          <w:sz w:val="21"/>
        </w:rPr>
        <w:t>يحوّل الهدف الاستراتيجي إلى مبادرات وأنشطة ومؤشرات وميزانيات ومسؤوليات ومواعيد.</w:t>
      </w:r>
    </w:p>
    <w:p>
      <w:pPr>
        <w:spacing w:before="160" w:after="100" w:line="276" w:lineRule="auto"/>
        <w:jc w:val="right"/>
        <w:bidi w:val="1"/>
      </w:pPr>
      <w:r>
        <w:rPr>
          <w:rFonts w:ascii="Noto Naskh Arabic" w:hAnsi="Noto Naskh Arabic" w:cs="Noto Naskh Arabic"/>
          <w:b/>
          <w:color w:val="155B4C"/>
          <w:sz w:val="26"/>
        </w:rPr>
        <w:t>عناصر الخطة</w:t>
      </w:r>
    </w:p>
    <w:p>
      <w:pPr>
        <w:pStyle w:val="ListBullet"/>
        <w:spacing w:after="60" w:line="269" w:lineRule="auto"/>
        <w:ind w:left="283" w:right="340"/>
        <w:jc w:val="right"/>
        <w:bidi w:val="1"/>
      </w:pPr>
      <w:r>
        <w:rPr>
          <w:rFonts w:ascii="Noto Naskh Arabic" w:hAnsi="Noto Naskh Arabic" w:cs="Noto Naskh Arabic"/>
          <w:b w:val="0"/>
          <w:sz w:val="21"/>
        </w:rPr>
        <w:t>الهدف الاستراتيجي، والنتيجة السنوية المستهدفة، والمبادرة، والأنشطة، والفئة المستفيدة، والمالك، والشركاء، والميزانية، ومصدر التمويل.</w:t>
      </w:r>
    </w:p>
    <w:p>
      <w:pPr>
        <w:pStyle w:val="ListBullet"/>
        <w:spacing w:after="60" w:line="269" w:lineRule="auto"/>
        <w:ind w:left="283" w:right="340"/>
        <w:jc w:val="right"/>
        <w:bidi w:val="1"/>
      </w:pPr>
      <w:r>
        <w:rPr>
          <w:rFonts w:ascii="Noto Naskh Arabic" w:hAnsi="Noto Naskh Arabic" w:cs="Noto Naskh Arabic"/>
          <w:b w:val="0"/>
          <w:sz w:val="21"/>
        </w:rPr>
        <w:t>مؤشر الأداء، وخط الأساس، والمستهدف، ودورية القياس، ومصدر البيانات.</w:t>
      </w:r>
    </w:p>
    <w:p>
      <w:pPr>
        <w:pStyle w:val="ListBullet"/>
        <w:spacing w:after="60" w:line="269" w:lineRule="auto"/>
        <w:ind w:left="283" w:right="340"/>
        <w:jc w:val="right"/>
        <w:bidi w:val="1"/>
      </w:pPr>
      <w:r>
        <w:rPr>
          <w:rFonts w:ascii="Noto Naskh Arabic" w:hAnsi="Noto Naskh Arabic" w:cs="Noto Naskh Arabic"/>
          <w:b w:val="0"/>
          <w:sz w:val="21"/>
        </w:rPr>
        <w:t>المخاطر والافتراضات وخطة المعالجة.</w:t>
      </w:r>
    </w:p>
    <w:p>
      <w:pPr>
        <w:spacing w:before="160" w:after="100" w:line="276" w:lineRule="auto"/>
        <w:jc w:val="right"/>
        <w:bidi w:val="1"/>
      </w:pPr>
      <w:r>
        <w:rPr>
          <w:rFonts w:ascii="Noto Naskh Arabic" w:hAnsi="Noto Naskh Arabic" w:cs="Noto Naskh Arabic"/>
          <w:b/>
          <w:color w:val="155B4C"/>
          <w:sz w:val="26"/>
        </w:rPr>
        <w:t>نموذج مبادرة</w:t>
      </w:r>
    </w:p>
    <w:p>
      <w:pPr>
        <w:pStyle w:val="ListBullet"/>
        <w:spacing w:after="60" w:line="269" w:lineRule="auto"/>
        <w:ind w:left="283" w:right="340"/>
        <w:jc w:val="right"/>
        <w:bidi w:val="1"/>
      </w:pPr>
      <w:r>
        <w:rPr>
          <w:rFonts w:ascii="Noto Naskh Arabic" w:hAnsi="Noto Naskh Arabic" w:cs="Noto Naskh Arabic"/>
          <w:b w:val="0"/>
          <w:sz w:val="21"/>
        </w:rPr>
        <w:t>اسم المبادرة: [اسم].</w:t>
      </w:r>
    </w:p>
    <w:p>
      <w:pPr>
        <w:pStyle w:val="ListBullet"/>
        <w:spacing w:after="60" w:line="269" w:lineRule="auto"/>
        <w:ind w:left="283" w:right="340"/>
        <w:jc w:val="right"/>
        <w:bidi w:val="1"/>
      </w:pPr>
      <w:r>
        <w:rPr>
          <w:rFonts w:ascii="Noto Naskh Arabic" w:hAnsi="Noto Naskh Arabic" w:cs="Noto Naskh Arabic"/>
          <w:b w:val="0"/>
          <w:sz w:val="21"/>
        </w:rPr>
        <w:t>الهدف المرتبط: [هدف استراتيجي].</w:t>
      </w:r>
    </w:p>
    <w:p>
      <w:pPr>
        <w:pStyle w:val="ListBullet"/>
        <w:spacing w:after="60" w:line="269" w:lineRule="auto"/>
        <w:ind w:left="283" w:right="340"/>
        <w:jc w:val="right"/>
        <w:bidi w:val="1"/>
      </w:pPr>
      <w:r>
        <w:rPr>
          <w:rFonts w:ascii="Noto Naskh Arabic" w:hAnsi="Noto Naskh Arabic" w:cs="Noto Naskh Arabic"/>
          <w:b w:val="0"/>
          <w:sz w:val="21"/>
        </w:rPr>
        <w:t>المخرجات: [قابلة للقياس].</w:t>
      </w:r>
    </w:p>
    <w:p>
      <w:pPr>
        <w:pStyle w:val="ListBullet"/>
        <w:spacing w:after="60" w:line="269" w:lineRule="auto"/>
        <w:ind w:left="283" w:right="340"/>
        <w:jc w:val="right"/>
        <w:bidi w:val="1"/>
      </w:pPr>
      <w:r>
        <w:rPr>
          <w:rFonts w:ascii="Noto Naskh Arabic" w:hAnsi="Noto Naskh Arabic" w:cs="Noto Naskh Arabic"/>
          <w:b w:val="0"/>
          <w:sz w:val="21"/>
        </w:rPr>
        <w:t>الفترة: [من - إلى].</w:t>
      </w:r>
    </w:p>
    <w:p>
      <w:pPr>
        <w:pStyle w:val="ListBullet"/>
        <w:spacing w:after="60" w:line="269" w:lineRule="auto"/>
        <w:ind w:left="283" w:right="340"/>
        <w:jc w:val="right"/>
        <w:bidi w:val="1"/>
      </w:pPr>
      <w:r>
        <w:rPr>
          <w:rFonts w:ascii="Noto Naskh Arabic" w:hAnsi="Noto Naskh Arabic" w:cs="Noto Naskh Arabic"/>
          <w:b w:val="0"/>
          <w:sz w:val="21"/>
        </w:rPr>
        <w:t>المسؤول: [الإدارة/الموظف].</w:t>
      </w:r>
    </w:p>
    <w:p>
      <w:pPr>
        <w:pStyle w:val="ListBullet"/>
        <w:spacing w:after="60" w:line="269" w:lineRule="auto"/>
        <w:ind w:left="283" w:right="340"/>
        <w:jc w:val="right"/>
        <w:bidi w:val="1"/>
      </w:pPr>
      <w:r>
        <w:rPr>
          <w:rFonts w:ascii="Noto Naskh Arabic" w:hAnsi="Noto Naskh Arabic" w:cs="Noto Naskh Arabic"/>
          <w:b w:val="0"/>
          <w:sz w:val="21"/>
        </w:rPr>
        <w:t>الميزانية: [المبلغ ومصدر التمويل].</w:t>
      </w:r>
    </w:p>
    <w:p>
      <w:pPr>
        <w:pStyle w:val="ListBullet"/>
        <w:spacing w:after="60" w:line="269" w:lineRule="auto"/>
        <w:ind w:left="283" w:right="340"/>
        <w:jc w:val="right"/>
        <w:bidi w:val="1"/>
      </w:pPr>
      <w:r>
        <w:rPr>
          <w:rFonts w:ascii="Noto Naskh Arabic" w:hAnsi="Noto Naskh Arabic" w:cs="Noto Naskh Arabic"/>
          <w:b w:val="0"/>
          <w:sz w:val="21"/>
        </w:rPr>
        <w:t>المؤشر والمستهدف: [صياغة كمية].</w:t>
      </w:r>
    </w:p>
    <w:p>
      <w:pPr>
        <w:spacing w:before="160" w:after="100" w:line="276" w:lineRule="auto"/>
        <w:jc w:val="right"/>
        <w:bidi w:val="1"/>
      </w:pPr>
      <w:r>
        <w:rPr>
          <w:rFonts w:ascii="Noto Naskh Arabic" w:hAnsi="Noto Naskh Arabic" w:cs="Noto Naskh Arabic"/>
          <w:b/>
          <w:color w:val="155B4C"/>
          <w:sz w:val="26"/>
        </w:rPr>
        <w:t>المتابعة</w:t>
      </w:r>
    </w:p>
    <w:p>
      <w:pPr>
        <w:pStyle w:val="ListBullet"/>
        <w:spacing w:after="60" w:line="269" w:lineRule="auto"/>
        <w:ind w:left="283" w:right="340"/>
        <w:jc w:val="right"/>
        <w:bidi w:val="1"/>
      </w:pPr>
      <w:r>
        <w:rPr>
          <w:rFonts w:ascii="Noto Naskh Arabic" w:hAnsi="Noto Naskh Arabic" w:cs="Noto Naskh Arabic"/>
          <w:b w:val="0"/>
          <w:sz w:val="21"/>
        </w:rPr>
        <w:t>اجتماع متابعة شهري أو ربع سنوي، وتحديث نسبة الإنجاز والانحرافات والإجراءات التصحيحية.</w:t>
      </w:r>
    </w:p>
    <w:p>
      <w:pPr>
        <w:pStyle w:val="ListBullet"/>
        <w:spacing w:after="60" w:line="269" w:lineRule="auto"/>
        <w:ind w:left="283" w:right="340"/>
        <w:jc w:val="right"/>
        <w:bidi w:val="1"/>
      </w:pPr>
      <w:r>
        <w:rPr>
          <w:rFonts w:ascii="Noto Naskh Arabic" w:hAnsi="Noto Naskh Arabic" w:cs="Noto Naskh Arabic"/>
          <w:b w:val="0"/>
          <w:sz w:val="21"/>
        </w:rPr>
        <w:t>لا يعد النشاط منجزًا دون دليل مخرج أو نتيجة معتمدة.</w:t>
      </w:r>
    </w:p>
    <w:p>
      <w:pPr>
        <w:spacing w:before="160" w:after="100" w:line="276" w:lineRule="auto"/>
        <w:jc w:val="right"/>
        <w:bidi w:val="1"/>
      </w:pPr>
      <w:r>
        <w:rPr>
          <w:rFonts w:ascii="Noto Naskh Arabic" w:hAnsi="Noto Naskh Arabic" w:cs="Noto Naskh Arabic"/>
          <w:b/>
          <w:color w:val="155B4C"/>
          <w:sz w:val="26"/>
        </w:rPr>
        <w:t>التقرير الختامي</w:t>
      </w:r>
    </w:p>
    <w:p>
      <w:pPr>
        <w:pStyle w:val="ListBullet"/>
        <w:spacing w:after="60" w:line="269" w:lineRule="auto"/>
        <w:ind w:left="283" w:right="340"/>
        <w:jc w:val="right"/>
        <w:bidi w:val="1"/>
      </w:pPr>
      <w:r>
        <w:rPr>
          <w:rFonts w:ascii="Noto Naskh Arabic" w:hAnsi="Noto Naskh Arabic" w:cs="Noto Naskh Arabic"/>
          <w:b w:val="0"/>
          <w:sz w:val="21"/>
        </w:rPr>
        <w:t>ملخص الإنجاز، والمؤشرات، والمستفيدون، والتكلفة، والتحديات، والدروس، والتوصيات للسنة التالية.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