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لائحة المشتريات والتعاقدات</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اللوائح والنموذج الشامل.</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تحقيق الكفاءة والعدالة والشفافية في شراء السلع والخدمات واختيار الموردين والمتعاقدين.</w:t>
      </w:r>
    </w:p>
    <w:p>
      <w:pPr>
        <w:spacing w:before="160" w:after="100" w:line="276" w:lineRule="auto"/>
        <w:jc w:val="right"/>
        <w:bidi w:val="1"/>
      </w:pPr>
      <w:r>
        <w:rPr>
          <w:rFonts w:ascii="Noto Naskh Arabic" w:hAnsi="Noto Naskh Arabic" w:cs="Noto Naskh Arabic"/>
          <w:b/>
          <w:color w:val="155B4C"/>
          <w:sz w:val="26"/>
        </w:rPr>
        <w:t>التخطيط للشراء</w:t>
      </w:r>
    </w:p>
    <w:p>
      <w:pPr>
        <w:pStyle w:val="ListBullet"/>
        <w:spacing w:after="60" w:line="269" w:lineRule="auto"/>
        <w:ind w:left="283" w:right="340"/>
        <w:jc w:val="right"/>
        <w:bidi w:val="1"/>
      </w:pPr>
      <w:r>
        <w:rPr>
          <w:rFonts w:ascii="Noto Naskh Arabic" w:hAnsi="Noto Naskh Arabic" w:cs="Noto Naskh Arabic"/>
          <w:b w:val="0"/>
          <w:sz w:val="21"/>
        </w:rPr>
        <w:t>ترتبط الطلبات بالموازنة والخطة التشغيلية ويحدد الاحتياج والمواصفات بوضوح.</w:t>
      </w:r>
    </w:p>
    <w:p>
      <w:pPr>
        <w:pStyle w:val="ListBullet"/>
        <w:spacing w:after="60" w:line="269" w:lineRule="auto"/>
        <w:ind w:left="283" w:right="340"/>
        <w:jc w:val="right"/>
        <w:bidi w:val="1"/>
      </w:pPr>
      <w:r>
        <w:rPr>
          <w:rFonts w:ascii="Noto Naskh Arabic" w:hAnsi="Noto Naskh Arabic" w:cs="Noto Naskh Arabic"/>
          <w:b w:val="0"/>
          <w:sz w:val="21"/>
        </w:rPr>
        <w:t>تجمع الاحتياجات المتشابهة متى كان ذلك أكثر كفاءة.</w:t>
      </w:r>
    </w:p>
    <w:p>
      <w:pPr>
        <w:spacing w:before="160" w:after="100" w:line="276" w:lineRule="auto"/>
        <w:jc w:val="right"/>
        <w:bidi w:val="1"/>
      </w:pPr>
      <w:r>
        <w:rPr>
          <w:rFonts w:ascii="Noto Naskh Arabic" w:hAnsi="Noto Naskh Arabic" w:cs="Noto Naskh Arabic"/>
          <w:b/>
          <w:color w:val="155B4C"/>
          <w:sz w:val="26"/>
        </w:rPr>
        <w:t>أساليب الشراء</w:t>
      </w:r>
    </w:p>
    <w:p>
      <w:pPr>
        <w:pStyle w:val="ListBullet"/>
        <w:spacing w:after="60" w:line="269" w:lineRule="auto"/>
        <w:ind w:left="283" w:right="340"/>
        <w:jc w:val="right"/>
        <w:bidi w:val="1"/>
      </w:pPr>
      <w:r>
        <w:rPr>
          <w:rFonts w:ascii="Noto Naskh Arabic" w:hAnsi="Noto Naskh Arabic" w:cs="Noto Naskh Arabic"/>
          <w:b w:val="0"/>
          <w:sz w:val="21"/>
        </w:rPr>
        <w:t>الشراء المباشر للحدود المنخفضة وفق صلاحيات محددة.</w:t>
      </w:r>
    </w:p>
    <w:p>
      <w:pPr>
        <w:pStyle w:val="ListBullet"/>
        <w:spacing w:after="60" w:line="269" w:lineRule="auto"/>
        <w:ind w:left="283" w:right="340"/>
        <w:jc w:val="right"/>
        <w:bidi w:val="1"/>
      </w:pPr>
      <w:r>
        <w:rPr>
          <w:rFonts w:ascii="Noto Naskh Arabic" w:hAnsi="Noto Naskh Arabic" w:cs="Noto Naskh Arabic"/>
          <w:b w:val="0"/>
          <w:sz w:val="21"/>
        </w:rPr>
        <w:t>طلب عروض أسعار ومقارنة فنية ومالية للعمليات المتوسطة.</w:t>
      </w:r>
    </w:p>
    <w:p>
      <w:pPr>
        <w:pStyle w:val="ListBullet"/>
        <w:spacing w:after="60" w:line="269" w:lineRule="auto"/>
        <w:ind w:left="283" w:right="340"/>
        <w:jc w:val="right"/>
        <w:bidi w:val="1"/>
      </w:pPr>
      <w:r>
        <w:rPr>
          <w:rFonts w:ascii="Noto Naskh Arabic" w:hAnsi="Noto Naskh Arabic" w:cs="Noto Naskh Arabic"/>
          <w:b w:val="0"/>
          <w:sz w:val="21"/>
        </w:rPr>
        <w:t>المنافسة أو المناقصة للعمليات الكبيرة أو ذات الأثر المرتفع.</w:t>
      </w:r>
    </w:p>
    <w:p>
      <w:pPr>
        <w:spacing w:before="160" w:after="100" w:line="276" w:lineRule="auto"/>
        <w:jc w:val="right"/>
        <w:bidi w:val="1"/>
      </w:pPr>
      <w:r>
        <w:rPr>
          <w:rFonts w:ascii="Noto Naskh Arabic" w:hAnsi="Noto Naskh Arabic" w:cs="Noto Naskh Arabic"/>
          <w:b/>
          <w:color w:val="155B4C"/>
          <w:sz w:val="26"/>
        </w:rPr>
        <w:t>اختيار المورد</w:t>
      </w:r>
    </w:p>
    <w:p>
      <w:pPr>
        <w:pStyle w:val="ListBullet"/>
        <w:spacing w:after="60" w:line="269" w:lineRule="auto"/>
        <w:ind w:left="283" w:right="340"/>
        <w:jc w:val="right"/>
        <w:bidi w:val="1"/>
      </w:pPr>
      <w:r>
        <w:rPr>
          <w:rFonts w:ascii="Noto Naskh Arabic" w:hAnsi="Noto Naskh Arabic" w:cs="Noto Naskh Arabic"/>
          <w:b w:val="0"/>
          <w:sz w:val="21"/>
        </w:rPr>
        <w:t>توثق معايير الاختيار مثل الجودة والسعر والمدة والخبرة والامتثال.</w:t>
      </w:r>
    </w:p>
    <w:p>
      <w:pPr>
        <w:pStyle w:val="ListBullet"/>
        <w:spacing w:after="60" w:line="269" w:lineRule="auto"/>
        <w:ind w:left="283" w:right="340"/>
        <w:jc w:val="right"/>
        <w:bidi w:val="1"/>
      </w:pPr>
      <w:r>
        <w:rPr>
          <w:rFonts w:ascii="Noto Naskh Arabic" w:hAnsi="Noto Naskh Arabic" w:cs="Noto Naskh Arabic"/>
          <w:b w:val="0"/>
          <w:sz w:val="21"/>
        </w:rPr>
        <w:t>يفصح أعضاء لجنة التقييم عن تعارض المصالح ويمتنع المتعارض عن المشاركة.</w:t>
      </w:r>
    </w:p>
    <w:p>
      <w:pPr>
        <w:pStyle w:val="ListBullet"/>
        <w:spacing w:after="60" w:line="269" w:lineRule="auto"/>
        <w:ind w:left="283" w:right="340"/>
        <w:jc w:val="right"/>
        <w:bidi w:val="1"/>
      </w:pPr>
      <w:r>
        <w:rPr>
          <w:rFonts w:ascii="Noto Naskh Arabic" w:hAnsi="Noto Naskh Arabic" w:cs="Noto Naskh Arabic"/>
          <w:b w:val="0"/>
          <w:sz w:val="21"/>
        </w:rPr>
        <w:t>لا يعتمد العرض الأقل سعرًا آليًا إذا لم يحقق المتطلبات الفنية.</w:t>
      </w:r>
    </w:p>
    <w:p>
      <w:pPr>
        <w:spacing w:before="160" w:after="100" w:line="276" w:lineRule="auto"/>
        <w:jc w:val="right"/>
        <w:bidi w:val="1"/>
      </w:pPr>
      <w:r>
        <w:rPr>
          <w:rFonts w:ascii="Noto Naskh Arabic" w:hAnsi="Noto Naskh Arabic" w:cs="Noto Naskh Arabic"/>
          <w:b/>
          <w:color w:val="155B4C"/>
          <w:sz w:val="26"/>
        </w:rPr>
        <w:t>العقود والاستلام</w:t>
      </w:r>
    </w:p>
    <w:p>
      <w:pPr>
        <w:pStyle w:val="ListBullet"/>
        <w:spacing w:after="60" w:line="269" w:lineRule="auto"/>
        <w:ind w:left="283" w:right="340"/>
        <w:jc w:val="right"/>
        <w:bidi w:val="1"/>
      </w:pPr>
      <w:r>
        <w:rPr>
          <w:rFonts w:ascii="Noto Naskh Arabic" w:hAnsi="Noto Naskh Arabic" w:cs="Noto Naskh Arabic"/>
          <w:b w:val="0"/>
          <w:sz w:val="21"/>
        </w:rPr>
        <w:t>يتضمن العقد النطاق والمخرجات والمدة والقيمة وآلية الدفع والجزاءات والسرية وفض النزاع.</w:t>
      </w:r>
    </w:p>
    <w:p>
      <w:pPr>
        <w:pStyle w:val="ListBullet"/>
        <w:spacing w:after="60" w:line="269" w:lineRule="auto"/>
        <w:ind w:left="283" w:right="340"/>
        <w:jc w:val="right"/>
        <w:bidi w:val="1"/>
      </w:pPr>
      <w:r>
        <w:rPr>
          <w:rFonts w:ascii="Noto Naskh Arabic" w:hAnsi="Noto Naskh Arabic" w:cs="Noto Naskh Arabic"/>
          <w:b w:val="0"/>
          <w:sz w:val="21"/>
        </w:rPr>
        <w:t>تشكل لجنة أو مسؤول للاستلام والتحقق قبل الصرف.</w:t>
      </w:r>
    </w:p>
    <w:p>
      <w:pPr>
        <w:spacing w:before="160" w:after="100" w:line="276" w:lineRule="auto"/>
        <w:jc w:val="right"/>
        <w:bidi w:val="1"/>
      </w:pPr>
      <w:r>
        <w:rPr>
          <w:rFonts w:ascii="Noto Naskh Arabic" w:hAnsi="Noto Naskh Arabic" w:cs="Noto Naskh Arabic"/>
          <w:b/>
          <w:color w:val="155B4C"/>
          <w:sz w:val="26"/>
        </w:rPr>
        <w:t>إدارة الموردين</w:t>
      </w:r>
    </w:p>
    <w:p>
      <w:pPr>
        <w:pStyle w:val="ListBullet"/>
        <w:spacing w:after="60" w:line="269" w:lineRule="auto"/>
        <w:ind w:left="283" w:right="340"/>
        <w:jc w:val="right"/>
        <w:bidi w:val="1"/>
      </w:pPr>
      <w:r>
        <w:rPr>
          <w:rFonts w:ascii="Noto Naskh Arabic" w:hAnsi="Noto Naskh Arabic" w:cs="Noto Naskh Arabic"/>
          <w:b w:val="0"/>
          <w:sz w:val="21"/>
        </w:rPr>
        <w:t>يحفظ سجل للموردين وتقييم الأداء والملاحظات والمخاطر.</w:t>
      </w:r>
    </w:p>
    <w:p>
      <w:pPr>
        <w:pStyle w:val="ListBullet"/>
        <w:spacing w:after="60" w:line="269" w:lineRule="auto"/>
        <w:ind w:left="283" w:right="340"/>
        <w:jc w:val="right"/>
        <w:bidi w:val="1"/>
      </w:pPr>
      <w:r>
        <w:rPr>
          <w:rFonts w:ascii="Noto Naskh Arabic" w:hAnsi="Noto Naskh Arabic" w:cs="Noto Naskh Arabic"/>
          <w:b w:val="0"/>
          <w:sz w:val="21"/>
        </w:rPr>
        <w:t>تمنع الهدايا أو المنافع التي تؤثر في الحياد، وتبلغ المخالفات عبر القنوات المعتمدة.</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